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071AF" w14:paraId="63F1351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7DBFA8" w14:textId="77777777" w:rsidR="00A071AF" w:rsidRDefault="00C57D0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E2E5EA1" w14:textId="77777777" w:rsidR="00A071AF" w:rsidRDefault="00C57D0E">
            <w:pPr>
              <w:spacing w:after="0" w:line="240" w:lineRule="auto"/>
            </w:pPr>
            <w:r>
              <w:t>53978</w:t>
            </w:r>
          </w:p>
        </w:tc>
      </w:tr>
      <w:tr w:rsidR="00A071AF" w14:paraId="51F3456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8E445D" w14:textId="77777777" w:rsidR="00A071AF" w:rsidRDefault="00C57D0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7E1868A" w14:textId="77777777" w:rsidR="00A071AF" w:rsidRDefault="00C57D0E">
            <w:pPr>
              <w:spacing w:after="0" w:line="240" w:lineRule="auto"/>
            </w:pPr>
            <w:r>
              <w:t>Centar za pružanje usluga u zajednici Međimurje</w:t>
            </w:r>
          </w:p>
        </w:tc>
      </w:tr>
      <w:tr w:rsidR="00A071AF" w14:paraId="41BB5B4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BA887C" w14:textId="77777777" w:rsidR="00A071AF" w:rsidRDefault="00C57D0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B12F7DB" w14:textId="77777777" w:rsidR="00A071AF" w:rsidRDefault="00C57D0E">
            <w:pPr>
              <w:spacing w:after="0" w:line="240" w:lineRule="auto"/>
            </w:pPr>
            <w:r>
              <w:t>11</w:t>
            </w:r>
          </w:p>
        </w:tc>
      </w:tr>
    </w:tbl>
    <w:p w14:paraId="4BAABBDE" w14:textId="77777777" w:rsidR="00A071AF" w:rsidRDefault="00C57D0E">
      <w:r>
        <w:br/>
      </w:r>
    </w:p>
    <w:p w14:paraId="6FF60924" w14:textId="77777777" w:rsidR="00A071AF" w:rsidRDefault="00C57D0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CC98D95" w14:textId="77777777" w:rsidR="00A071AF" w:rsidRDefault="00C57D0E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B496F5C" w14:textId="77777777" w:rsidR="00A071AF" w:rsidRDefault="00C57D0E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B41FB47" w14:textId="77777777" w:rsidR="00A071AF" w:rsidRDefault="00A071AF"/>
    <w:p w14:paraId="2D51D180" w14:textId="77777777" w:rsidR="00A071AF" w:rsidRDefault="00C57D0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6DED4F9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80217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D142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AB86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1A6B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52C5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212F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E6B2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FBA2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C834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45B2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AFC9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99AA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674.663,80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FCCE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2.161.067,94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526B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320,3</w:t>
            </w:r>
          </w:p>
        </w:tc>
      </w:tr>
      <w:tr w:rsidR="00A071AF" w14:paraId="06C23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1EDC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BC0C2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B806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A8EE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593.359,53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9A57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1.267.692,92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E774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213,6</w:t>
            </w:r>
          </w:p>
        </w:tc>
      </w:tr>
      <w:tr w:rsidR="00A071AF" w14:paraId="2F5223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67AFD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9324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B672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0F8F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81.304,27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C059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893.375,02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FEF0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1098,8</w:t>
            </w:r>
          </w:p>
        </w:tc>
      </w:tr>
      <w:tr w:rsidR="00A071AF" w14:paraId="378E89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5364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0386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0B5E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08EF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90DA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E299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71AF" w14:paraId="2B6C3F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279B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73411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3BA7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5FF5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078D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995.651,39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931E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2639,9</w:t>
            </w:r>
          </w:p>
        </w:tc>
      </w:tr>
      <w:tr w:rsidR="00A071AF" w14:paraId="0314B4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D307D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A153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DEE6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08B9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37.715,00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7D82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995.651,39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B2D4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2639,9</w:t>
            </w:r>
          </w:p>
        </w:tc>
      </w:tr>
      <w:tr w:rsidR="00A071AF" w14:paraId="322B7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7910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34955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2E20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53CA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5531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0C96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71AF" w14:paraId="5E12C2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F7CD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4E9D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CD87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93FD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4246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56DD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071AF" w14:paraId="13FE7C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BE989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ADAB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4EC2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3856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2A5D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079D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071AF" w14:paraId="31A91C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192F8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0074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3870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F204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5573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102.276,37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FF7F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FBAC6D7" w14:textId="77777777" w:rsidR="00A071AF" w:rsidRDefault="00A071AF">
      <w:pPr>
        <w:spacing w:after="0"/>
      </w:pPr>
    </w:p>
    <w:p w14:paraId="7B6AF4DA" w14:textId="77777777" w:rsidR="00A071AF" w:rsidRDefault="00C57D0E">
      <w:r>
        <w:t>Manjak prihoda od nefinancijske imovine (šifra Y002) financira se u potpunosti iz ukupnih prihoda poslovanja (šifra 6). Dio rashoda u iznosu 14.263,34 € financira se iz prenesenog viška poslovanja, koji je iznosio 43.589,27 €, na početku razdoblja jer je u izvještajnom razdoblju neiskorišteni iznos od 29.325,93 € vraćen Hrvatskom zavodu za zapošljavanje.  Prihod je ostvaren korištenjem mjere Aktivne politike zapošljavanja, a nije utrošen u cijelosti jer su dvije zaposlene pripravnice podnijele zahtjev za sp</w:t>
      </w:r>
      <w:r>
        <w:t xml:space="preserve">orazumni raskid Ugovora o radu na </w:t>
      </w:r>
      <w:r>
        <w:lastRenderedPageBreak/>
        <w:t>određeno vrijeme prije isteka Ugovora o dodjeli potpore za pripravništvo u javnim službama. Preostali manjak prihoda u iznosu 88.013,03 € odnosi se na metodološki manjak razdoblja i bit će pokriven u toku mjeseca siječnja 2026. godine.</w:t>
      </w:r>
    </w:p>
    <w:p w14:paraId="51404BBA" w14:textId="77777777" w:rsidR="00A071AF" w:rsidRDefault="00C57D0E">
      <w:r>
        <w:br/>
      </w:r>
    </w:p>
    <w:p w14:paraId="2AA5F437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2B482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6AD0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9F27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6924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73EC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F677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091D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1256D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351C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53D5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E608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B2BC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674.663,80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A9B3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2.161.067,94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0D8A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320,3</w:t>
            </w:r>
          </w:p>
        </w:tc>
      </w:tr>
    </w:tbl>
    <w:p w14:paraId="53DEA72C" w14:textId="77777777" w:rsidR="00A071AF" w:rsidRDefault="00A071AF">
      <w:pPr>
        <w:spacing w:after="0"/>
      </w:pPr>
    </w:p>
    <w:p w14:paraId="1FC0140F" w14:textId="77777777" w:rsidR="00A071AF" w:rsidRDefault="00C57D0E">
      <w:r>
        <w:t>Prihodi poslovanja za razdoblje 1.-12.2025. godine imaju indeks porasta u odnosu na ostvarene u izvještajnom razdoblju prethodne godine zbog razvoja poslovanja, povećanja broja zaposlenih, donacije za nabavu novog vozila, dvije nenamjenske donacije, tekuće pomoći proračunskim korisnicima iz proračuna JLP(R)S, pokrića dugovanja nastalog izgradnjom građevine - provedba projekta Centra za ranu intervenciju u djetinjstvu MURID u Pribislavcu, Braće Radića 2c, a temeljem Sporazuma o partnerstvu sklopljenog 28. ož</w:t>
      </w:r>
      <w:r>
        <w:t xml:space="preserve">ujka 2025. između Centra za pružanje usluga u zajednici Međimurje i Centra MURID, te Ugovora o preuzimanju duga sklopljenog 30. travnja 2025. između Centra MURID kao prvotnog dužnika, Centra za pružanje usluga u zajednici Međimurje kao novog dužnika i poduzeća </w:t>
      </w:r>
      <w:proofErr w:type="spellStart"/>
      <w:r>
        <w:t>Đurkin</w:t>
      </w:r>
      <w:proofErr w:type="spellEnd"/>
      <w:r>
        <w:t xml:space="preserve"> d.o.o. kao vjerovnika i Ugovora o preuzimanju duga sklopljenog 30. travnja 2025. između Centra MURID kao prvotnog dužnika, Centra za pružanje usluga u zajednici Međimurje kao novog dužnika i poduzeća </w:t>
      </w:r>
      <w:proofErr w:type="spellStart"/>
      <w:r>
        <w:t>Lukabella</w:t>
      </w:r>
      <w:proofErr w:type="spellEnd"/>
      <w:r>
        <w:t xml:space="preserve"> d.o.o. kao vjerovnika. Uz prihode </w:t>
      </w:r>
      <w:r>
        <w:t>Ministarstva za financiranje rashoda poslovanja te prihode za EU projekte koji financiraju rashod plaća obiteljskih suradnica primili smo i prihode za financiranje rashoda za nabavu nefinancijske imovine, odnosno nabavu namještaja za potrebe poslovnog prostora u Pribislavcu, kapitalne prijenose između proračunskih korisnika za financiranje 10% ugovorenog iznosa po prihvaćanju idejnog rješenja dodatnog ulaganja te 40% ugovorenog iznosa po predaji glavnih projekata za građevinsku dozvolu na objektu prema Ugov</w:t>
      </w:r>
      <w:r>
        <w:t xml:space="preserve">oru za izradu projektno-tehničke dokumentacije za građevinu ustupljenu na korištenje na lokaciji Matice hrvatske 1C u Čakovcu, 10% ugovorenog iznosa po prihvaćanju idejnog rješenja te 50% ugovorenog iznosa po predaji glavnih projekata za građevinsku dozvolu za izradu projektno-tehničke dokumentacije izgradnje dviju kuća za organizirano stanovanje djece bez odgovarajuće roditeljske skrbi za potrebe obavljanja djelatnosti Centra za pružanje usluga u zajednici Međimurje u Ivanovcu i </w:t>
      </w:r>
      <w:proofErr w:type="spellStart"/>
      <w:r>
        <w:t>Dunjkovcu</w:t>
      </w:r>
      <w:proofErr w:type="spellEnd"/>
      <w:r>
        <w:t>, prihod za uslugu</w:t>
      </w:r>
      <w:r>
        <w:t xml:space="preserve"> izrade dva projekta opremanja i uređenja dviju kuća za organizirano stanovanje, prihod za uslugu izrade dokumenata "procjene klimatskog potvrđivanja infrastrukture na klimatske promjene" za projekt rekonstrukcije i adaptacije poslovne zgrada Centra Međimurje na lokaciji Matice hrvatske 1C u Čakovcu te projekt izgradnje dvaju objekata - obiteljskih kuća za organizirano stanovanje u Ivanovcu i </w:t>
      </w:r>
      <w:proofErr w:type="spellStart"/>
      <w:r>
        <w:t>Dunjkovcu</w:t>
      </w:r>
      <w:proofErr w:type="spellEnd"/>
      <w:r>
        <w:t>, prihod za nabavu kućanskih aparata za uslugu organiziranog stanovanja.</w:t>
      </w:r>
    </w:p>
    <w:p w14:paraId="26CE4B75" w14:textId="77777777" w:rsidR="00A071AF" w:rsidRDefault="00A071AF"/>
    <w:p w14:paraId="53319055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32E63C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AFC0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24DC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F044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476C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D9FB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4E6C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D2726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BB8B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0AEC9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37D6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FA24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144.313,03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0788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24.212,76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B74A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16,8</w:t>
            </w:r>
          </w:p>
        </w:tc>
      </w:tr>
    </w:tbl>
    <w:p w14:paraId="420385ED" w14:textId="77777777" w:rsidR="00A071AF" w:rsidRDefault="00A071AF">
      <w:pPr>
        <w:spacing w:after="0"/>
      </w:pPr>
    </w:p>
    <w:p w14:paraId="1C35AF17" w14:textId="77777777" w:rsidR="00A071AF" w:rsidRDefault="00C57D0E">
      <w:r>
        <w:t>Rast prihoda u odnosu na izvještajno razdoblje prethodne godine jer su tada bile primljene samo tekuće pomoći od institucija i tijela EU (šifra 6323), a to su prihodi po EU projektima - Mehanizam za oporavak i otpornost čime su se financirale plaće obiteljskih suradnika. U ovom izvještajnom razdoblju prihod po EU projektima iskazan je na računu 6711163 - Prihodi za financiranje rashoda poslovanja za EU projekte dok račun iz računskog plana 63 sadrži tekuću pomoći proračunskim korisnicima iz proračuna koji i</w:t>
      </w:r>
      <w:r>
        <w:t>m nije nadležan odnosno od Općine Mala Subotica (račun 6361) za financiranje rashoda putovanja i nabave sportskih dresova za korisnike za potrebe sudjelovanja na Sportskim susretima mladih u iznosu 655,75 €, kapitalni prijenos između proračunskih korisnika istog proračuna (šifra 6392) u iznosu 23.557,01 € koji se sastoji od 4.432,01 € za nabavu kućanskih aparata za uslugu organiziranog stanovanja, 3.000,00 €  za izradu dva projekta opremanja i uređenja dviju kuća za organizirano stanovanje i 16.125,00 €  od</w:t>
      </w:r>
      <w:r>
        <w:t xml:space="preserve">nosno 50% ugovorenog iznosa po predaji glavnih projekata za građevinsku dozvolu za izradu projektno-tehničke dokumentacije izgradnje dviju kuća za organizirano stanovanje djece bez odgovarajuće roditeljske skrbi za potrebe obavljanja djelatnosti Centra za pružanje usluga u zajednici Međimurje u Ivanovcu i </w:t>
      </w:r>
      <w:proofErr w:type="spellStart"/>
      <w:r>
        <w:t>Dunjkovcu</w:t>
      </w:r>
      <w:proofErr w:type="spellEnd"/>
      <w:r>
        <w:t>.</w:t>
      </w:r>
    </w:p>
    <w:p w14:paraId="528ABE9A" w14:textId="77777777" w:rsidR="00A071AF" w:rsidRDefault="00A071AF"/>
    <w:p w14:paraId="2FBEEB18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43AD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DC6B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C5F6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3AF0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D9DF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2F0F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214F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28B118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C8D4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E50EA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0BE9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B919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92.242,75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D7B0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5198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CF4738E" w14:textId="77777777" w:rsidR="00A071AF" w:rsidRDefault="00A071AF">
      <w:pPr>
        <w:spacing w:after="0"/>
      </w:pPr>
    </w:p>
    <w:p w14:paraId="3901D758" w14:textId="77777777" w:rsidR="00A071AF" w:rsidRDefault="00C57D0E">
      <w:r>
        <w:t>Prihod je ove godine iskazan na računu 6711163 - Prihodi za financiranje rashoda poslovanja za EU projekte.</w:t>
      </w:r>
    </w:p>
    <w:p w14:paraId="16AF0CC2" w14:textId="77777777" w:rsidR="00A071AF" w:rsidRDefault="00A071AF"/>
    <w:p w14:paraId="54893462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9BA6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B7F8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71A8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2973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127A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BDEE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23F1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CE873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AB10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5AFA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0ABA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5130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8082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C94E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946D8F" w14:textId="77777777" w:rsidR="00A071AF" w:rsidRDefault="00A071AF">
      <w:pPr>
        <w:spacing w:after="0"/>
      </w:pPr>
    </w:p>
    <w:p w14:paraId="753BDADE" w14:textId="77777777" w:rsidR="00A071AF" w:rsidRDefault="00C57D0E">
      <w:r>
        <w:lastRenderedPageBreak/>
        <w:t>Tekuća pomoć proračunskim korisnicima iz proračuna koji im nije nadležan odnosno od Općine Mala Subotica (račun 6361) za financiranje rashoda putovanja i nabave sportskih dresova za korisnike za potrebe sudjelovanja na Sportskim susretima mladih u iznosu 655,75 €.</w:t>
      </w:r>
    </w:p>
    <w:p w14:paraId="14486146" w14:textId="77777777" w:rsidR="00A071AF" w:rsidRDefault="00A071AF"/>
    <w:p w14:paraId="37C88030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6E3C9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A8F6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C0D5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9129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BA72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7D9F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1699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6C39F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6AA0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B4A30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F4C5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1593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7525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23.557,01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EAD8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DC4F46" w14:textId="77777777" w:rsidR="00A071AF" w:rsidRDefault="00A071AF">
      <w:pPr>
        <w:spacing w:after="0"/>
      </w:pPr>
    </w:p>
    <w:p w14:paraId="33D9FF08" w14:textId="77777777" w:rsidR="00A071AF" w:rsidRDefault="00C57D0E">
      <w:r>
        <w:t>Kapitalni prijenos između proračunskih korisnika istog proračuna (šifra 6392) u iznosu 23.557,01 € koji se sastoji od 4.432,01 € za nabavu kućanskih aparata za uslugu organiziranog stanovanja, 3.000,00 €  za izradu dva projekta opremanja i uređenja dviju kuća za organizirano stanovanje i 16.125,00 €  odnosno 50% ugovorenog iznosa po predaji glavnih projekata za građevinsku dozvolu za izradu projektno-tehničke dokumentacije izgradnje dviju kuća za organizirano stanovanje djece bez odgovarajuće roditeljske sk</w:t>
      </w:r>
      <w:r>
        <w:t xml:space="preserve">rbi za potrebe obavljanja djelatnosti Centra za pružanje usluga u zajednici Međimurje u </w:t>
      </w:r>
      <w:proofErr w:type="spellStart"/>
      <w:r>
        <w:t>Ivankovcu</w:t>
      </w:r>
      <w:proofErr w:type="spellEnd"/>
      <w:r>
        <w:t xml:space="preserve"> i </w:t>
      </w:r>
      <w:proofErr w:type="spellStart"/>
      <w:r>
        <w:t>Dunjkovcu</w:t>
      </w:r>
      <w:proofErr w:type="spellEnd"/>
      <w:r>
        <w:t>.</w:t>
      </w:r>
    </w:p>
    <w:p w14:paraId="4D199E23" w14:textId="77777777" w:rsidR="00A071AF" w:rsidRDefault="00A071AF"/>
    <w:p w14:paraId="6AD48273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C0BBE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D588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A42D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2AEB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6357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E07E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1CB2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97B30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9065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462E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4614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50E0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7FA9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51BE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2181,6</w:t>
            </w:r>
          </w:p>
        </w:tc>
      </w:tr>
    </w:tbl>
    <w:p w14:paraId="36053235" w14:textId="77777777" w:rsidR="00A071AF" w:rsidRDefault="00A071AF">
      <w:pPr>
        <w:spacing w:after="0"/>
      </w:pPr>
    </w:p>
    <w:p w14:paraId="0063EB0F" w14:textId="77777777" w:rsidR="00A071AF" w:rsidRDefault="00C57D0E">
      <w:r>
        <w:t xml:space="preserve">Prihodi od donacija u iznosu 49.700,00 € od PBZ </w:t>
      </w:r>
      <w:proofErr w:type="spellStart"/>
      <w:r>
        <w:t>Card</w:t>
      </w:r>
      <w:proofErr w:type="spellEnd"/>
      <w:r>
        <w:t xml:space="preserve"> d.o.o. - namjenska donacija za nabavku novog električnog vozila za potrebe ustanove i dvije nenamjenske donacije u iznosu 500,00 € od poduzeća </w:t>
      </w:r>
      <w:proofErr w:type="spellStart"/>
      <w:r>
        <w:t>Đurkin</w:t>
      </w:r>
      <w:proofErr w:type="spellEnd"/>
      <w:r>
        <w:t xml:space="preserve"> d.o.o. te 2.000,00 € Zaklada </w:t>
      </w:r>
      <w:proofErr w:type="spellStart"/>
      <w:r>
        <w:t>Pevex</w:t>
      </w:r>
      <w:proofErr w:type="spellEnd"/>
      <w:r>
        <w:t>.</w:t>
      </w:r>
    </w:p>
    <w:p w14:paraId="143D3CB9" w14:textId="77777777" w:rsidR="00A071AF" w:rsidRDefault="00A071AF"/>
    <w:p w14:paraId="0C4F4760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7E15D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1D84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2830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A475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EADB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C182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790F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1D8466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F59B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286D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AF3F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F189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527.958,02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0018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2.084.655,18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6436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394,9</w:t>
            </w:r>
          </w:p>
        </w:tc>
      </w:tr>
    </w:tbl>
    <w:p w14:paraId="7B6AF8B5" w14:textId="77777777" w:rsidR="00A071AF" w:rsidRDefault="00A071AF">
      <w:pPr>
        <w:spacing w:after="0"/>
      </w:pPr>
    </w:p>
    <w:p w14:paraId="51D44272" w14:textId="77777777" w:rsidR="00A071AF" w:rsidRDefault="00C57D0E">
      <w:r>
        <w:t xml:space="preserve">Povećanje prihoda u odnosu na ostvareno u izvještajnom razdoblju prethodne godine jer imamo iskazane prihode iz nadležnog proračuna za financiranje rashoda poslovanja (šifra </w:t>
      </w:r>
      <w:r>
        <w:lastRenderedPageBreak/>
        <w:t>6711) u iznosu 1.162.260,80 € (uključuju prihode od Ministarstva u iznosu 1.071.794,61 € i prihode za financiranje rashoda poslovanja za EU projekte u iznosu 90.466,19 €) i prihode iz nadležnog proračuna za financiranje rashoda za nabavu nefinancijske imovine (šifra 6712) u iznosu 922.394,38 €.</w:t>
      </w:r>
    </w:p>
    <w:p w14:paraId="5705F1A5" w14:textId="77777777" w:rsidR="00A071AF" w:rsidRDefault="00A071AF"/>
    <w:p w14:paraId="1A1425CE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4D1B7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B01A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BA89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F1D1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BE7B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4B0E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3063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2073F8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AB08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3EA6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3B7A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9336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492.635,77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6811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1.162.260,80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3147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235,9</w:t>
            </w:r>
          </w:p>
        </w:tc>
      </w:tr>
    </w:tbl>
    <w:p w14:paraId="1C173B6C" w14:textId="77777777" w:rsidR="00A071AF" w:rsidRDefault="00A071AF">
      <w:pPr>
        <w:spacing w:after="0"/>
      </w:pPr>
    </w:p>
    <w:p w14:paraId="424F5169" w14:textId="77777777" w:rsidR="00A071AF" w:rsidRDefault="00C57D0E">
      <w:r>
        <w:t>Povećanje prihoda u odnosu na ostvareno u izvještajnom razdoblju prethodne godine jer imamo iskazane prihode iz nadležnog proračuna za financiranje rashoda poslovanja (šifra 6711) u iznosu 1.162.260,80 € (uključuju prihode od Ministarstva u iznosu 1.071.794,61 €  i prihode za financiranje rashoda poslovanja za EU projekte u iznosu 90.466,19 €). Prihodi su se povećali zbog razvoja poslovanja, povećanja broja zaposlenih, rasta osnovice za obračun plaća, smjenskog rada te financiranja plaća za obiteljske surad</w:t>
      </w:r>
      <w:r>
        <w:t>nice iz sredstava namijenjenih provedbi Nacionalnog plana oporavka i otpornosti 2021.-2027.</w:t>
      </w:r>
    </w:p>
    <w:p w14:paraId="77F3054E" w14:textId="77777777" w:rsidR="00A071AF" w:rsidRDefault="00A071AF"/>
    <w:p w14:paraId="411F6B36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6454D8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0C36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5C0A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DA0C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D329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B2F0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7639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334E5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DD96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9652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B9B1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95AC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35.322,25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B8E0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922.394,38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5972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2611,4</w:t>
            </w:r>
          </w:p>
        </w:tc>
      </w:tr>
    </w:tbl>
    <w:p w14:paraId="4F499F2E" w14:textId="77777777" w:rsidR="00A071AF" w:rsidRDefault="00A071AF">
      <w:pPr>
        <w:spacing w:after="0"/>
      </w:pPr>
    </w:p>
    <w:p w14:paraId="566C96D4" w14:textId="77777777" w:rsidR="00A071AF" w:rsidRDefault="00C57D0E">
      <w:r>
        <w:t xml:space="preserve">Prihod za nabavu dugotrajne imovine u iznosu 40.000,00 € za financiranje dugovanja nastalog u izgradnji građevine - provedba projekta Centra za ranu intervenciju u djetinjstvu MURID u Pribislavcu, Braće Radića 2c, a temeljem Sporazuma o partnerstvu sklopljenog 28. ožujka 2025. između Centra za pružanje usluga u zajednici Međimurje i Centra MURID te  prema Ugovoru o preuzimanju duga sklopljenog 30. travnja 2025. između Centra MURID kao prvotnog dužnika, Centra Međimurje kao novog dužnika i poduzeća </w:t>
      </w:r>
      <w:proofErr w:type="spellStart"/>
      <w:r>
        <w:t>Lukabella</w:t>
      </w:r>
      <w:proofErr w:type="spellEnd"/>
      <w:r>
        <w:t xml:space="preserve"> d.o.o. kao vjerovnika, prihod u iznosu 847.263,75 € za financiranje dugovanja nastalog u izgradnji građevine - provedba projekta Centra za ranu intervenciju u djetinjstvu MURID u Pribislavcu, Braće Radić 2c, a temeljem Sporazuma o partnerstvu sklopljenog 28. ožujka 2025. između Centra za pružanje usluga u zajednici Međimurje i Centra MURID, te Ugovora o preuzimanju duga sklopljenog 30. travnja 2025. između Centra MURID kao prvotnog dužnika, Centra za pružanje usluga u zajednici Međimurje kao novog</w:t>
      </w:r>
      <w:r>
        <w:t xml:space="preserve"> dužnika i poduzeća </w:t>
      </w:r>
      <w:proofErr w:type="spellStart"/>
      <w:r>
        <w:t>Đurkin</w:t>
      </w:r>
      <w:proofErr w:type="spellEnd"/>
      <w:r>
        <w:t xml:space="preserve"> d.o.o. kao vjerovnika, prihod za nabavu uredskog namještaja za navedeni prostor u iznosu 12.218,13 €, prihod od 3.187,50 € za uslugu izrade dokumenata "procjene klimatskog potvrđivanja infrastrukture na klimatske promjene" za projekt rekonstrukcije i adaptacije poslovne zgrade </w:t>
      </w:r>
      <w:r>
        <w:lastRenderedPageBreak/>
        <w:t xml:space="preserve">Centra Međimurje na lokaciji Matice hrvatske 1C u Čakovcu te projekt izgradnje dvaju objekata - obiteljskih kuća za organizirano stanovanje u Ivanovcu i </w:t>
      </w:r>
      <w:proofErr w:type="spellStart"/>
      <w:r>
        <w:t>Dunjkovcu</w:t>
      </w:r>
      <w:proofErr w:type="spellEnd"/>
      <w:r>
        <w:t>, prihod u ukupnom iznosu 16.500,00 € za fina</w:t>
      </w:r>
      <w:r>
        <w:t>nciranje 10% ugovorenog iznosa (3.300,00 €) po prihvaćanju idejnog rješenja dodatnog ulaganja  te 40% ugovorenog iznosa (13.200,00 €) po predaji glavnih projekata za građevinsku dozvolu na objektu prema Ugovoru za izradu projektno-tehničke dokumentacije za građevinu ustupljenu na korištenje na lokaciji Matice hrvatske 1C u Čakovcu i prihod od 3.225,00 € za 10% ugovorenog iznosa po prihvaćanju idejnog rješenja za izradu projektno-tehničke dokumentacije izgradnje dviju kuća za organizirano stanovanje djece be</w:t>
      </w:r>
      <w:r>
        <w:t xml:space="preserve">z odgovarajuće roditeljske skrbi za potrebe obavljanja djelatnosti Centra za pružanje usluga u zajednici Međimurje u Ivanovcu i </w:t>
      </w:r>
      <w:proofErr w:type="spellStart"/>
      <w:r>
        <w:t>Dunjkovcu</w:t>
      </w:r>
      <w:proofErr w:type="spellEnd"/>
      <w:r>
        <w:t>.</w:t>
      </w:r>
    </w:p>
    <w:p w14:paraId="1EE32B2B" w14:textId="77777777" w:rsidR="00A071AF" w:rsidRDefault="00A071AF"/>
    <w:p w14:paraId="0BFBD688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35AB25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1E4F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8BA9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BA9F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46AE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5272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B24A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14AA9D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C029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B299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6CF6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ED16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593.359,53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48C8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1.267.692,92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04EC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213,6</w:t>
            </w:r>
          </w:p>
        </w:tc>
      </w:tr>
    </w:tbl>
    <w:p w14:paraId="7071D151" w14:textId="77777777" w:rsidR="00A071AF" w:rsidRDefault="00A071AF">
      <w:pPr>
        <w:spacing w:after="0"/>
      </w:pPr>
    </w:p>
    <w:p w14:paraId="59780E14" w14:textId="77777777" w:rsidR="00A071AF" w:rsidRDefault="00C57D0E">
      <w:r>
        <w:t>Rashodi poslovanja za razdoblje 1.-12.2025. godine imaju indeks porasta u odnosu na ostvarene u izvještajnom razdoblju prethodne godine zbog razvoja poslovanja, povećanja broja zaposlenih, povećanja osnovice za obračun plaće, smjenskog rada. Ustanova u ovom razdoblju pruža usluge na 4 lokacije poludnevnog boravka, uslugu organiziranog stanovanja na jednoj lokaciji te psihosocijalnu podršku u domovima obitelji diljem županije. Na datum 31.12.2025. godine zaposlena su 34 zaposlenika za koje se isplaćuje plaća</w:t>
      </w:r>
      <w:r>
        <w:t>. Ustanova raspolaže s 5 osobnih vozila. Za dva prostora plaća se najam (kuća za provođenje organiziranog stanovanja).</w:t>
      </w:r>
    </w:p>
    <w:p w14:paraId="6DC106A1" w14:textId="77777777" w:rsidR="00A071AF" w:rsidRDefault="00A071AF"/>
    <w:p w14:paraId="212847E0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574C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A19B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A5EC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38A9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9359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B026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7397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16CDA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CEA2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BF29D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4F0F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C7DE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803A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53.098,86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00E2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598,6</w:t>
            </w:r>
          </w:p>
        </w:tc>
      </w:tr>
    </w:tbl>
    <w:p w14:paraId="580BCC6B" w14:textId="77777777" w:rsidR="00A071AF" w:rsidRDefault="00A071AF">
      <w:pPr>
        <w:spacing w:after="0"/>
      </w:pPr>
    </w:p>
    <w:p w14:paraId="57AE09B9" w14:textId="77777777" w:rsidR="00A071AF" w:rsidRDefault="00C57D0E">
      <w:r>
        <w:t>Rad u jedinici organiziranog stanovanja uključuje raspodjelu rada prema tri smjene te rad vikendom i blagdanom s pripadajućim uvećanjem redovnog rada.</w:t>
      </w:r>
    </w:p>
    <w:p w14:paraId="4AB7EAC7" w14:textId="77777777" w:rsidR="00A071AF" w:rsidRDefault="00A071AF"/>
    <w:p w14:paraId="0CB6B5B4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64D82D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572F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8268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AD6B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D1EB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0880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F792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E190E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3A17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66172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3844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7098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21.982,88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4BF6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33.041,49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ECF7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</w:tbl>
    <w:p w14:paraId="2258994C" w14:textId="77777777" w:rsidR="00A071AF" w:rsidRDefault="00A071AF">
      <w:pPr>
        <w:spacing w:after="0"/>
      </w:pPr>
    </w:p>
    <w:p w14:paraId="3BFDCAA8" w14:textId="77777777" w:rsidR="00A071AF" w:rsidRDefault="00C57D0E">
      <w:r>
        <w:t xml:space="preserve">Rashodi su nastali zbog isplate </w:t>
      </w:r>
      <w:proofErr w:type="spellStart"/>
      <w:r>
        <w:t>uskrsnice</w:t>
      </w:r>
      <w:proofErr w:type="spellEnd"/>
      <w:r>
        <w:t xml:space="preserve"> u iznosu 3.100,00 €, regresa u iznosu 11.100,00 €, naknade za dugotrajno bolovanje u iznosu 441,44 €, isplate naknade za neiskorišteni godišnji odmor zaposlenika zbog raskida radnog odnosa u iznosu 5.160,16 €, ostalih nenavedenih rashoda za zaposlene u iznosu 441,44 € koji uključuju isplatu potpore za novorođeno dijete za dvoje zaposlenika, darovi djeci za Sv. Nikolu u iznosu 2.200,00 €, božićnice 9.900,00 te jubilarne nagrade 698,45 €.</w:t>
      </w:r>
    </w:p>
    <w:p w14:paraId="125464E7" w14:textId="77777777" w:rsidR="00A071AF" w:rsidRDefault="00A071AF"/>
    <w:p w14:paraId="4AAFAB8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8E84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49AC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1E53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30F3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AF56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5ADD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ACBC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9C14A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D9C5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48DF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782C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075F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145.997,56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A59A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231.348,71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D213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158,5</w:t>
            </w:r>
          </w:p>
        </w:tc>
      </w:tr>
    </w:tbl>
    <w:p w14:paraId="475C7712" w14:textId="77777777" w:rsidR="00A071AF" w:rsidRDefault="00A071AF">
      <w:pPr>
        <w:spacing w:after="0"/>
      </w:pPr>
    </w:p>
    <w:p w14:paraId="4150BB8A" w14:textId="77777777" w:rsidR="00A071AF" w:rsidRDefault="00C57D0E">
      <w:r>
        <w:t>Materijalni rashodi u odnosu na ostvareno u izvještajnom razdoblju prethodne godine povećali su se sukladno rastu i razvoju poslovanja te dinamici povećanja pružanja usluga.</w:t>
      </w:r>
    </w:p>
    <w:p w14:paraId="51377A58" w14:textId="77777777" w:rsidR="00A071AF" w:rsidRDefault="00A071AF"/>
    <w:p w14:paraId="585D5A4F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A3413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E687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A2F9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07A9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BB85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ABD8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52C5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12B84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D35A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0173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87B9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AB2AE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12.938,66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A875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11.094,18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7B65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0D7582AD" w14:textId="77777777" w:rsidR="00A071AF" w:rsidRDefault="00A071AF">
      <w:pPr>
        <w:spacing w:after="0"/>
      </w:pPr>
    </w:p>
    <w:p w14:paraId="7022D0CE" w14:textId="77777777" w:rsidR="00A071AF" w:rsidRDefault="00C57D0E">
      <w:r>
        <w:t>Rashodi za uredski materijal i ostale materijalne rashode u odnosu na ostvareno u izvještajnom razdoblju prethodne godine povećali su se sukladno rastu i razvoju poslovanja te dinamici povećanja pružanja usluga. Najviše rashoda nastaje zbog potrebe nabave materijala za higijenske potrebe i njegu korisnika u iznosu 3.016,53 €. Ostali značajni rashodi uključuju uredski materijal u iznosu 2.826,17 €, materijal i sredstva za čišćenje i održavanje u iznosu 2.588,88 €, ostali materijal za potrebe redovnog poslova</w:t>
      </w:r>
      <w:r>
        <w:t>nja 1.781,45 € te literatura 881,15 €.</w:t>
      </w:r>
    </w:p>
    <w:p w14:paraId="02B16441" w14:textId="77777777" w:rsidR="00A071AF" w:rsidRDefault="00A071AF"/>
    <w:p w14:paraId="6A5FB700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F3CB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C6D5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B9A7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29F3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34A8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F5B2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820B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1C3D0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9CD5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66EE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A2D0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F12F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24.965,57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7F70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62.750,02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DC60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251,3</w:t>
            </w:r>
          </w:p>
        </w:tc>
      </w:tr>
    </w:tbl>
    <w:p w14:paraId="402781E6" w14:textId="77777777" w:rsidR="00A071AF" w:rsidRDefault="00A071AF">
      <w:pPr>
        <w:spacing w:after="0"/>
      </w:pPr>
    </w:p>
    <w:p w14:paraId="46AF28BD" w14:textId="77777777" w:rsidR="00A071AF" w:rsidRDefault="00C57D0E">
      <w:r>
        <w:t xml:space="preserve">Rashodi za materijal i sirovine u odnosu na ostvareno u izvještajnom razdoblju prethodne godine povećali su se sukladno rastu i razvoju poslovanja te dinamici povećanja pružanja usluga. Najviše rashoda nastaje zbog potrebe nabave namirnica za korisnike u iznosu 50.361,28 €. Ostali značajni rashodi su materijal za radnu okupaciju korisnika u iznosu 4.751,18 €, odjeća i obuća korisnika u iznosu 5.298,35 €. Preostali iznos odnosi se na rashod za materijal za zdravstvenu zaštitu i njegu korisnika (1.146,20 €), </w:t>
      </w:r>
      <w:r>
        <w:t>knjige i školski pribor korisnika (1.193,01 €).</w:t>
      </w:r>
    </w:p>
    <w:p w14:paraId="48BAA417" w14:textId="77777777" w:rsidR="00A071AF" w:rsidRDefault="00A071AF"/>
    <w:p w14:paraId="3B35E07F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CC9B3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22F5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E25B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8ED6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7D2F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646E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B8DB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0A076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F6B0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E8F8C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BD37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C490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7.387,90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A98B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20.931,07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1720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283,3</w:t>
            </w:r>
          </w:p>
        </w:tc>
      </w:tr>
    </w:tbl>
    <w:p w14:paraId="56F84F22" w14:textId="77777777" w:rsidR="00A071AF" w:rsidRDefault="00A071AF">
      <w:pPr>
        <w:spacing w:after="0"/>
      </w:pPr>
    </w:p>
    <w:p w14:paraId="0F00ABCA" w14:textId="77777777" w:rsidR="00A071AF" w:rsidRDefault="00C57D0E">
      <w:r>
        <w:t>Rashodi uključuju potrošnju električne energije (10.986,98 €) i plina (5.174,80 €) na svim lokacijama poslovanja te opskrbu gorivom za službena vozila (4.769,29 €).</w:t>
      </w:r>
    </w:p>
    <w:p w14:paraId="27CB0F18" w14:textId="77777777" w:rsidR="00A071AF" w:rsidRDefault="00A071AF"/>
    <w:p w14:paraId="340ED3B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DED5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D4F6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BEB2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9DF2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2079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B4AA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BFE7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106380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3277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BE3A5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1700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3949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8027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2EC6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34,1</w:t>
            </w:r>
          </w:p>
        </w:tc>
      </w:tr>
    </w:tbl>
    <w:p w14:paraId="54420BF1" w14:textId="77777777" w:rsidR="00A071AF" w:rsidRDefault="00A071AF">
      <w:pPr>
        <w:spacing w:after="0"/>
      </w:pPr>
    </w:p>
    <w:p w14:paraId="04D1078D" w14:textId="77777777" w:rsidR="00A071AF" w:rsidRDefault="00C57D0E">
      <w:r>
        <w:t>Rashodi za tekuće održavanje objekata u kojima se pružaju usluge te službenih vozila i opreme za obavljanje poslovanja.</w:t>
      </w:r>
    </w:p>
    <w:p w14:paraId="621B6E62" w14:textId="77777777" w:rsidR="00A071AF" w:rsidRDefault="00A071AF"/>
    <w:p w14:paraId="51668E5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56A83C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FE9F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059D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3592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03B7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5CEE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E12E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C5471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8BBA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2DC5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CC38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734B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F372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40D7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14:paraId="7E83F677" w14:textId="77777777" w:rsidR="00A071AF" w:rsidRDefault="00A071AF">
      <w:pPr>
        <w:spacing w:after="0"/>
      </w:pPr>
    </w:p>
    <w:p w14:paraId="27933588" w14:textId="77777777" w:rsidR="00A071AF" w:rsidRDefault="00C57D0E">
      <w:r>
        <w:t xml:space="preserve">Nabavljena je oprema za potrebe redovnog poslovanja (odvijači, punjač, USB, ručnici, kuhinjske krpe, kuhinjsko posuđe, zidni sat, vrtni alat, mali kućanski uređaji, </w:t>
      </w:r>
      <w:proofErr w:type="spellStart"/>
      <w:r>
        <w:t>autosjedalica</w:t>
      </w:r>
      <w:proofErr w:type="spellEnd"/>
      <w:r>
        <w:t xml:space="preserve">, kartotečni </w:t>
      </w:r>
      <w:proofErr w:type="spellStart"/>
      <w:r>
        <w:t>ladičar</w:t>
      </w:r>
      <w:proofErr w:type="spellEnd"/>
      <w:r>
        <w:t xml:space="preserve">, bicikli za korisnike organiziranog stanovanja, bazen za poludnevne boravke, ventilator, suncobran, hranilica, natpisna ploča, magnetne ploče, pomoćni krevet, jastuci, posteljine, ormarići za prvu pomoć, police, usisavač, mini roštilj, </w:t>
      </w:r>
      <w:proofErr w:type="spellStart"/>
      <w:r>
        <w:t>baner</w:t>
      </w:r>
      <w:proofErr w:type="spellEnd"/>
      <w:r>
        <w:t xml:space="preserve">, PC set, mobitel, regal, tegle, stolne svjetiljke, karniše, sušilo za rublje, tepisi, zavjese, </w:t>
      </w:r>
      <w:proofErr w:type="spellStart"/>
      <w:r>
        <w:t>redudantni</w:t>
      </w:r>
      <w:proofErr w:type="spellEnd"/>
      <w:r>
        <w:t xml:space="preserve"> i univerzalni komunikator za vatrodojavu, TV nosač, stalak, komoda, vješalica, garderoba).</w:t>
      </w:r>
    </w:p>
    <w:p w14:paraId="55797773" w14:textId="77777777" w:rsidR="00A071AF" w:rsidRDefault="00A071AF"/>
    <w:p w14:paraId="2FE856D6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6F40ED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8245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6D3D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A3F8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3856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1306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9FE6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B7A7E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8206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5F104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FD12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8885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30EA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5.188,73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6EEF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14:paraId="25459041" w14:textId="77777777" w:rsidR="00A071AF" w:rsidRDefault="00A071AF">
      <w:pPr>
        <w:spacing w:after="0"/>
      </w:pPr>
    </w:p>
    <w:p w14:paraId="78BBE68D" w14:textId="77777777" w:rsidR="00A071AF" w:rsidRDefault="00C57D0E">
      <w:r>
        <w:t>Najveći rashod nastaje zbog usluga u pokretnoj komunikacijskoj mreži u iznosu 3.208,45 € dok preostali iznos rashoda uključuje usluge telefona (1.164,29 €), interneta (675,84 €) te poštarine (140,15 €).</w:t>
      </w:r>
    </w:p>
    <w:p w14:paraId="5B88A05D" w14:textId="77777777" w:rsidR="00A071AF" w:rsidRDefault="00A071AF"/>
    <w:p w14:paraId="237CF46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818FC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95E2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EABC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FE8E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78F7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760A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3EF1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766D6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9F4E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66C5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6EE4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07EE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6.035,38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20F1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9.751,67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A63E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161,6</w:t>
            </w:r>
          </w:p>
        </w:tc>
      </w:tr>
    </w:tbl>
    <w:p w14:paraId="6F42C0CF" w14:textId="77777777" w:rsidR="00A071AF" w:rsidRDefault="00A071AF">
      <w:pPr>
        <w:spacing w:after="0"/>
      </w:pPr>
    </w:p>
    <w:p w14:paraId="6EEBA541" w14:textId="77777777" w:rsidR="00A071AF" w:rsidRDefault="00C57D0E">
      <w:r>
        <w:t>Usluge tekućeg i investicijskog održavanja obuhvatile su u najvećem dijelu popravke na lokacijama poludnevnih boravaka što uključuje zamjenu hidrauličnog zatvarača na vratima u iznosu 1.507,50 €, servis vatrodojavnog sustava u iznosu 2.425,00 €, postavljanje komarnika u iznosu 1.056,25 €. Ostali rashodi nastali su zbog ispitivanja vatrodojavnog sustava, servis vatrogasnih aparata i bojlera, održavanje dizala, servis kosilice, spajanje perilice, zamjenu guma i servise na službenim vozilima.</w:t>
      </w:r>
    </w:p>
    <w:p w14:paraId="612FA9B8" w14:textId="77777777" w:rsidR="00A071AF" w:rsidRDefault="00A071AF"/>
    <w:p w14:paraId="7C8EE277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7F8D6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2DB4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309E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0F92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42E2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B833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5577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B023E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38D3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E694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995E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8488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286A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3.249,95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4B64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14:paraId="001A0EE4" w14:textId="77777777" w:rsidR="00A071AF" w:rsidRDefault="00A071AF">
      <w:pPr>
        <w:spacing w:after="0"/>
      </w:pPr>
    </w:p>
    <w:p w14:paraId="02B9EFD0" w14:textId="77777777" w:rsidR="00A071AF" w:rsidRDefault="00C57D0E">
      <w:r>
        <w:t>Usluge promidžbe i informiranja uključuju rashode oglašavanja natječaja za zapošljavanje u Narodnim novinama, objavu postupka javne nabave za električno vozilo i obroka za korisnike te promidžbeni materijal.</w:t>
      </w:r>
    </w:p>
    <w:p w14:paraId="3231ADC5" w14:textId="77777777" w:rsidR="00A071AF" w:rsidRDefault="00A071AF"/>
    <w:p w14:paraId="36E4310D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D405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A992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22BA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1B8C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98D1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6A86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7A42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E110A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48EC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75E22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1A9D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8D755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C964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EEB2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224,8</w:t>
            </w:r>
          </w:p>
        </w:tc>
      </w:tr>
    </w:tbl>
    <w:p w14:paraId="1EBC1D86" w14:textId="77777777" w:rsidR="00A071AF" w:rsidRDefault="00A071AF">
      <w:pPr>
        <w:spacing w:after="0"/>
      </w:pPr>
    </w:p>
    <w:p w14:paraId="31C54E29" w14:textId="77777777" w:rsidR="00A071AF" w:rsidRDefault="00C57D0E">
      <w:r>
        <w:t xml:space="preserve">Rashod za komunalne usluge obuhvaća opskrbu vodom u iznosu 2.037,84 €, iznošenje i odvoz smeća u iznosu 1.080,99 € i ostale komunalne usluge (odvoz otpadnih voda, </w:t>
      </w:r>
      <w:proofErr w:type="spellStart"/>
      <w:r>
        <w:t>odštopavanje</w:t>
      </w:r>
      <w:proofErr w:type="spellEnd"/>
      <w:r>
        <w:t>) u iznosu 1.564,40 €.</w:t>
      </w:r>
    </w:p>
    <w:p w14:paraId="7954425F" w14:textId="77777777" w:rsidR="00A071AF" w:rsidRDefault="00A071AF"/>
    <w:p w14:paraId="308341A8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71B82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A895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3E17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D6CA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EBF2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9002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6E99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B7032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450E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1373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1004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41A2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21.448,57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B2D4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36.021,47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47C4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167,9</w:t>
            </w:r>
          </w:p>
        </w:tc>
      </w:tr>
    </w:tbl>
    <w:p w14:paraId="1A4DD3EF" w14:textId="77777777" w:rsidR="00A071AF" w:rsidRDefault="00A071AF">
      <w:pPr>
        <w:spacing w:after="0"/>
      </w:pPr>
    </w:p>
    <w:p w14:paraId="36C8284E" w14:textId="77777777" w:rsidR="00A071AF" w:rsidRDefault="00C57D0E">
      <w:r>
        <w:t>Zakupnina i najamnina za građevinske objekte u izvještajnom razdoblju tekuće godine iznosi 31.800,00 €, najam multifunkcionalnih ispisnih uređaja i telefona 3.983,47 € i najamnina prijevoznog sredstva 238,00 €.</w:t>
      </w:r>
    </w:p>
    <w:p w14:paraId="37BEFFD2" w14:textId="77777777" w:rsidR="00A071AF" w:rsidRDefault="00A071AF"/>
    <w:p w14:paraId="3568D9B5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28483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4B3F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9FCC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4230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0CC9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578C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80FF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031BB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93C2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D647C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CE81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1E20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7F3D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250C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89,4</w:t>
            </w:r>
          </w:p>
        </w:tc>
      </w:tr>
    </w:tbl>
    <w:p w14:paraId="6EFFB68A" w14:textId="77777777" w:rsidR="00A071AF" w:rsidRDefault="00A071AF">
      <w:pPr>
        <w:spacing w:after="0"/>
      </w:pPr>
    </w:p>
    <w:p w14:paraId="630AB601" w14:textId="77777777" w:rsidR="00A071AF" w:rsidRDefault="00C57D0E">
      <w:r>
        <w:t>Rashod radionica za odgojitelje u iznosu 700,00 €, provedba postupka javnih nabava za nabavu osobnog vozila i obroka za korisnike u iznosu 3.600,00 € i projekt tehničke zaštite za zgradu Matice hrvatske 1c u iznosu 537.50 €.</w:t>
      </w:r>
    </w:p>
    <w:p w14:paraId="2CF53788" w14:textId="77777777" w:rsidR="00A071AF" w:rsidRDefault="00A071AF"/>
    <w:p w14:paraId="566016D9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C6A0A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976B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D572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53DD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3718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6EF8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003A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4E550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CECC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838E3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4AA1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E8F8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4C69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5.077,47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48B6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14:paraId="2C501268" w14:textId="77777777" w:rsidR="00A071AF" w:rsidRDefault="00A071AF">
      <w:pPr>
        <w:spacing w:after="0"/>
      </w:pPr>
    </w:p>
    <w:p w14:paraId="16DEE9D0" w14:textId="77777777" w:rsidR="00A071AF" w:rsidRDefault="00C57D0E">
      <w:r>
        <w:t>Rashodi za održavanje računalnog sustava i službenih web stranica.</w:t>
      </w:r>
    </w:p>
    <w:p w14:paraId="00BC95BA" w14:textId="77777777" w:rsidR="00A071AF" w:rsidRDefault="00A071AF"/>
    <w:p w14:paraId="5DC8A6C8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562B3B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338E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B9B1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A783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3616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C6A7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CF3A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22B29E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D2FA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6A5AA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5C1D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94B6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DF45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3DD0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</w:tbl>
    <w:p w14:paraId="39736E85" w14:textId="77777777" w:rsidR="00A071AF" w:rsidRDefault="00A071AF">
      <w:pPr>
        <w:spacing w:after="0"/>
      </w:pPr>
    </w:p>
    <w:p w14:paraId="1C63B863" w14:textId="77777777" w:rsidR="00A071AF" w:rsidRDefault="00C57D0E">
      <w:r>
        <w:t>Rashodi za ostale usluge uključuju rashode za košnju na lokaciji u Pribislavcu u iznosu 95,32 €, registraciju automobila u iznosu 670,76 €, pranje službenih vozila u iznosu 47,00 €, usluge vatrodojave u iznosu 4.356,95 € te ostale nespomenute usluge u iznosu 671,87 €, a koje se odnose na rashode selidbe u novi poslovni prostor u Pribislavcu, kontrolu ložišta i ispitivanje vode u stambenoj jedinici za provođenje usluge organiziranog stanovanja.</w:t>
      </w:r>
    </w:p>
    <w:p w14:paraId="38A58029" w14:textId="77777777" w:rsidR="00A071AF" w:rsidRDefault="00A071AF"/>
    <w:p w14:paraId="403288B3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39971C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312C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3DDF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6406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10E0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2EF6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69D8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F5875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7019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4920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251A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4834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C6F4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559F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243,7</w:t>
            </w:r>
          </w:p>
        </w:tc>
      </w:tr>
    </w:tbl>
    <w:p w14:paraId="0F9EA322" w14:textId="77777777" w:rsidR="00A071AF" w:rsidRDefault="00A071AF">
      <w:pPr>
        <w:spacing w:after="0"/>
      </w:pPr>
    </w:p>
    <w:p w14:paraId="53E50779" w14:textId="77777777" w:rsidR="00A071AF" w:rsidRDefault="00C57D0E">
      <w:r>
        <w:t>Najveći dio rashoda odnosi se na plaćene premije osiguranja prijevoznih sredstava u iznosu 4.017,84 €, premije osiguranja ostale imovine, odnosno osiguranje od opće odgovornosti i osiguranje objekta u Pribislavcu u iznosu 2.000,09 €, naknade članovima Upravnog vijeća u iznosu 891,90 €, članarine za sportske aktivnosti korisnika organiziranog stanovanja u iznosu 729,00 €, naknade za RTV u iznosu 626,58 € i ostali nespomenutih rashoda poslovanja u iznosu 442,08 €.</w:t>
      </w:r>
    </w:p>
    <w:p w14:paraId="145C88AC" w14:textId="77777777" w:rsidR="00A071AF" w:rsidRDefault="00A071AF"/>
    <w:p w14:paraId="3CF3EE8C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34E5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3564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312A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F778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9F86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B36F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9BB9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1C82C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6FF8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5D5D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9F70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73B9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5B42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BF6C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203,1</w:t>
            </w:r>
          </w:p>
        </w:tc>
      </w:tr>
    </w:tbl>
    <w:p w14:paraId="3750D788" w14:textId="77777777" w:rsidR="00A071AF" w:rsidRDefault="00A071AF">
      <w:pPr>
        <w:spacing w:after="0"/>
      </w:pPr>
    </w:p>
    <w:p w14:paraId="33696070" w14:textId="77777777" w:rsidR="00A071AF" w:rsidRDefault="00C57D0E">
      <w:r>
        <w:t>Rashod uključuje bankarsku naknadu za platni promet i korištenje usluga Fine.</w:t>
      </w:r>
    </w:p>
    <w:p w14:paraId="6CA56EF8" w14:textId="77777777" w:rsidR="00A071AF" w:rsidRDefault="00A071AF"/>
    <w:p w14:paraId="219F0879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6913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4BE7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C5B2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3067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D099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6667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6817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55159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46D8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A004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9546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888A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F4B3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4F03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617,4</w:t>
            </w:r>
          </w:p>
        </w:tc>
      </w:tr>
    </w:tbl>
    <w:p w14:paraId="5CD07D70" w14:textId="77777777" w:rsidR="00A071AF" w:rsidRDefault="00A071AF">
      <w:pPr>
        <w:spacing w:after="0"/>
      </w:pPr>
    </w:p>
    <w:p w14:paraId="4569181D" w14:textId="77777777" w:rsidR="00A071AF" w:rsidRDefault="00C57D0E">
      <w:r>
        <w:t>Džeparac se isplaćivao u iznosu 37,50 € mjesečno po korisniku usluge organiziranog stanovanja, organizirani su izleti za korisnike organiziranog stanovanja i poludnevnih boravaka.</w:t>
      </w:r>
    </w:p>
    <w:p w14:paraId="6BCEF5FC" w14:textId="77777777" w:rsidR="00A071AF" w:rsidRDefault="00A071AF"/>
    <w:p w14:paraId="7DBFC27F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00750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58F6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A3ED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9F70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6AC7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36B2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1D4A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F9139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9005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E02F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4618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F0AF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41D5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14.263,34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65F4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650FA0" w14:textId="77777777" w:rsidR="00A071AF" w:rsidRDefault="00A071AF">
      <w:pPr>
        <w:spacing w:after="0"/>
      </w:pPr>
    </w:p>
    <w:p w14:paraId="5D154623" w14:textId="77777777" w:rsidR="00A071AF" w:rsidRDefault="00C57D0E">
      <w:r>
        <w:t>Višak prihoda poslovanja prenesen je iz 2024. godine u iznosu 45.589,27€. Prihod je ostvaren korištenjem mjere Aktivne politike zapošljavanja, a nije utrošen u cijelosti jer su dvije zaposlene pripravnice podnijele zahtjev za sporazumni raskid Ugovora o radu na određeno vrijeme prije isteka Ugovora o dodjeli potpore za pripravništvo u javnim službama te je neiskorišteni dio od 29.325,93 € vraćen Hrvatskom zavodu za zapošljavanje, a iznos od 14.263,34 € u potpunosti pokriva rashod plaća pripravnica u 2025. g</w:t>
      </w:r>
      <w:r>
        <w:t>odini.</w:t>
      </w:r>
    </w:p>
    <w:p w14:paraId="1430A4D4" w14:textId="77777777" w:rsidR="00A071AF" w:rsidRDefault="00A071AF"/>
    <w:p w14:paraId="29301303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FCD66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6243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75E4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92BB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E64A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8CA8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DF99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2D8FBE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F254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D60AC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95DE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40B1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B00B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995.651,39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8757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2639,9</w:t>
            </w:r>
          </w:p>
        </w:tc>
      </w:tr>
    </w:tbl>
    <w:p w14:paraId="7E80DEE0" w14:textId="77777777" w:rsidR="00A071AF" w:rsidRDefault="00A071AF">
      <w:pPr>
        <w:spacing w:after="0"/>
      </w:pPr>
    </w:p>
    <w:p w14:paraId="30F33F99" w14:textId="77777777" w:rsidR="00A071AF" w:rsidRDefault="00C57D0E">
      <w:r>
        <w:t>Rashodi za nabavu nefinancijske imovine uključuju rashod za poslovni objekt (šifra 4212) u iznosu 909.613,75 €, uredski materijal (šifra 4221) u iznosu 12.218,13 € rashod za prijevozna sredstva u cestovnom prometu (šifra 4231) u iznosu 49.700,00 € i dodatna ulaganja na građevinskim objektima (šifra 4511) u iznosu 19.687,50 €.</w:t>
      </w:r>
    </w:p>
    <w:p w14:paraId="7EDB8CBF" w14:textId="77777777" w:rsidR="00A071AF" w:rsidRDefault="00A071AF"/>
    <w:p w14:paraId="47B3761E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27FE1A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74B1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99F2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B928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12C7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2DE5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9848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4B9A5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3B8F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CE94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F009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5B37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2883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909.613,75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0715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1F1DDC" w14:textId="77777777" w:rsidR="00A071AF" w:rsidRDefault="00A071AF">
      <w:pPr>
        <w:spacing w:after="0"/>
      </w:pPr>
    </w:p>
    <w:p w14:paraId="41C95391" w14:textId="77777777" w:rsidR="00A071AF" w:rsidRDefault="00C57D0E">
      <w:r>
        <w:t xml:space="preserve">Rashod zbog namirenja dugovanja nastalog u izgradnji građevine - provedba projekta Centra za ranu intervenciju u djetinjstvu MURID u Pribislavcu, Braće Radića 2c, a temeljem Sporazuma o partnerstvu sklopljenog 28. ožujka 2025. između Centra za pružanje usluga u zajednici Međimurje i Centra MURID te Ugovora o preuzimanju duga sklopljenog 30. travnja 2025. između Centra MURID kao prvotnog dužnika, Centra za pružanje usluga u zajednici Međimurje kao novog dužnika i poduzeća </w:t>
      </w:r>
      <w:proofErr w:type="spellStart"/>
      <w:r>
        <w:t>Lukabella</w:t>
      </w:r>
      <w:proofErr w:type="spellEnd"/>
      <w:r>
        <w:t xml:space="preserve"> d.o.o. kao vjerovnika u iznosu 40.000,00 €, te Ugovora o preuzimanju duga sklopljenog 30. travnja 2025. između Centra MURID kao prvotnog dužnika, Centra za pružanje usluga u zajednici Međimurje kao novog dužnika i poduzeća </w:t>
      </w:r>
      <w:proofErr w:type="spellStart"/>
      <w:r>
        <w:t>Đurkin</w:t>
      </w:r>
      <w:proofErr w:type="spellEnd"/>
      <w:r>
        <w:t xml:space="preserve"> d.o.o. kao vjerovnika u iznosu 847.263,75 €, rashod za izradu dva projekta opremanja i uređenja dviju kuća za organizirano stanovanje u iznosu 3.000,00 €, rashod od 16.125,00 €  odnosno 50% ugovorenog iznosa po predaji glavnih projekata za građevinsku dozvolu i 3.225,00 €</w:t>
      </w:r>
      <w:r>
        <w:t xml:space="preserve"> za 10% ugovorenog iznosa po prihvaćanju idejnog rješenja za izradu projektno-tehničke dokumentacije izgradnje dviju kuća za organizirano stanovanje djece bez odgovarajuće roditeljske skrbi za potrebe obavljanja djelatnosti Centra za pružanje usluga u zajednici Međimurje u Ivanovcu i </w:t>
      </w:r>
      <w:proofErr w:type="spellStart"/>
      <w:r>
        <w:t>Dunjkovcu</w:t>
      </w:r>
      <w:proofErr w:type="spellEnd"/>
      <w:r>
        <w:t>.</w:t>
      </w:r>
    </w:p>
    <w:p w14:paraId="6397C8ED" w14:textId="77777777" w:rsidR="00A071AF" w:rsidRDefault="00A071AF"/>
    <w:p w14:paraId="5104117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C87C0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F45F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B197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D188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2467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5F3C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6347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05E1C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73D3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24BC1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0153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AE9E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FBED4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12.218,13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9A22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510,6</w:t>
            </w:r>
          </w:p>
        </w:tc>
      </w:tr>
    </w:tbl>
    <w:p w14:paraId="2578BAEA" w14:textId="77777777" w:rsidR="00A071AF" w:rsidRDefault="00A071AF">
      <w:pPr>
        <w:spacing w:after="0"/>
      </w:pPr>
    </w:p>
    <w:p w14:paraId="23A75703" w14:textId="77777777" w:rsidR="00A071AF" w:rsidRDefault="00C57D0E">
      <w:r>
        <w:t>Uredski namještaj u iznosu 12.218,13 € odnosi se na kupovinu novog namještaja za potrebe opremanja prostora privremenog sjedišta Centra na lokaciji u Pribislavcu.</w:t>
      </w:r>
    </w:p>
    <w:p w14:paraId="65C1C3D0" w14:textId="77777777" w:rsidR="00A071AF" w:rsidRDefault="00A071AF"/>
    <w:p w14:paraId="5581E578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31843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CFD7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3B18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DEA4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23B4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7F7B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6324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42D95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3405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8B1F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FE81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476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8DE7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C3C9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43D0C428" w14:textId="77777777" w:rsidR="00A071AF" w:rsidRDefault="00A071AF">
      <w:pPr>
        <w:spacing w:after="0"/>
      </w:pPr>
    </w:p>
    <w:p w14:paraId="3B020780" w14:textId="77777777" w:rsidR="00A071AF" w:rsidRDefault="00C57D0E">
      <w:r>
        <w:t>Rashod za nabavu kućanskih aparata za uslugu organiziranog stanovanja (sušilica rublja, perilica posuđa, perilica rublja, TV, hladnjak, zamrzivač).</w:t>
      </w:r>
    </w:p>
    <w:p w14:paraId="57E69297" w14:textId="77777777" w:rsidR="00A071AF" w:rsidRDefault="00A071AF"/>
    <w:p w14:paraId="43928392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0FFB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E544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3F24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2300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9A37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19A3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55B6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9D4CF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D5B4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0424A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F4E1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4D64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30.923,52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E160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0AE8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14:paraId="3423AD20" w14:textId="77777777" w:rsidR="00A071AF" w:rsidRDefault="00A071AF">
      <w:pPr>
        <w:spacing w:after="0"/>
      </w:pPr>
    </w:p>
    <w:p w14:paraId="57B58103" w14:textId="77777777" w:rsidR="00A071AF" w:rsidRDefault="00C57D0E">
      <w:r>
        <w:t xml:space="preserve">Osobni automobil u iznosu 49.700,00 € odnosi se na kupovinu novog električnog osobnog vozila marke Škoda </w:t>
      </w:r>
      <w:proofErr w:type="spellStart"/>
      <w:r>
        <w:t>Enyaq</w:t>
      </w:r>
      <w:proofErr w:type="spellEnd"/>
      <w:r>
        <w:t xml:space="preserve"> za koje je ustanova dobila namjensku donaciju od PBZ </w:t>
      </w:r>
      <w:proofErr w:type="spellStart"/>
      <w:r>
        <w:t>Card</w:t>
      </w:r>
      <w:proofErr w:type="spellEnd"/>
      <w:r>
        <w:t xml:space="preserve"> d.o.o. u sklopu humanitarnog projekta PBZ grupe „Činim dobro svaki dan”.</w:t>
      </w:r>
    </w:p>
    <w:p w14:paraId="69232881" w14:textId="77777777" w:rsidR="00A071AF" w:rsidRDefault="00A071AF"/>
    <w:p w14:paraId="04D5C398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F61E4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D52D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F096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84FF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1971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F3D8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93A6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10971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8F0D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CCC5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7E3D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DB9C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BEF7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F681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47D357" w14:textId="77777777" w:rsidR="00A071AF" w:rsidRDefault="00A071AF">
      <w:pPr>
        <w:spacing w:after="0"/>
      </w:pPr>
    </w:p>
    <w:p w14:paraId="7883A471" w14:textId="77777777" w:rsidR="00A071AF" w:rsidRDefault="00C57D0E">
      <w:r>
        <w:t>Rashod za financiranje 10% ugovorenog iznosa (3.300,00 €) po prihvaćanju idejnog rješenja dodatnog ulaganja te 40% ugovorenog iznosa (13.200,00 €) po predaji glavnih projekata za građevinsku dozvolu na objektu prema Ugovoru za izradu projektno-tehničke dokumentacije za građevinu ustupljenu na korištenje na lokaciji Matice hrvatske 1C u Čakovcu i rashod od 3.187,50 € za uslugu izrade dokumenata "procjene klimatskog potvrđivanja infrastrukture na klimatske promjene" za projekt rekonstrukcije i adaptacije posl</w:t>
      </w:r>
      <w:r>
        <w:t xml:space="preserve">ovne zgrade Centra Međimurje na lokaciji Matice hrvatske 1C u Čakovcu te projekt izgradnje dvaju objekata - obiteljskih kuća za organizirano stanovanje u </w:t>
      </w:r>
      <w:proofErr w:type="spellStart"/>
      <w:r>
        <w:t>Dunjkovcu</w:t>
      </w:r>
      <w:proofErr w:type="spellEnd"/>
      <w:r>
        <w:t xml:space="preserve"> i Ivanovcu.</w:t>
      </w:r>
    </w:p>
    <w:p w14:paraId="6D4887AC" w14:textId="77777777" w:rsidR="00A071AF" w:rsidRDefault="00A071AF"/>
    <w:p w14:paraId="1289BECF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9E688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9BF4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BC37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74AD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E9EA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A2FC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7084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DE266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27359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0188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94B1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32BC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2D9B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995.651,39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62CD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2639,9</w:t>
            </w:r>
          </w:p>
        </w:tc>
      </w:tr>
    </w:tbl>
    <w:p w14:paraId="3173F047" w14:textId="77777777" w:rsidR="00A071AF" w:rsidRDefault="00A071AF">
      <w:pPr>
        <w:spacing w:after="0"/>
      </w:pPr>
    </w:p>
    <w:p w14:paraId="47D59ECC" w14:textId="77777777" w:rsidR="00A071AF" w:rsidRDefault="00C57D0E">
      <w:r>
        <w:t>Manjak prihoda od nefinancijske imovine pokriva se prihodima poslovanja.</w:t>
      </w:r>
    </w:p>
    <w:p w14:paraId="6939CB21" w14:textId="77777777" w:rsidR="00A071AF" w:rsidRDefault="00A071AF"/>
    <w:p w14:paraId="693294B7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44890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0279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CAAE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4EC8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1FE7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CAAF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8CB3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00B6A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DC145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C445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59F8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50E0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7E74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102.276,37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F71B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076057" w14:textId="77777777" w:rsidR="00A071AF" w:rsidRDefault="00A071AF">
      <w:pPr>
        <w:spacing w:after="0"/>
      </w:pPr>
    </w:p>
    <w:p w14:paraId="13078ACD" w14:textId="77777777" w:rsidR="00A071AF" w:rsidRDefault="00C57D0E">
      <w:r>
        <w:t>Dio manjka prihoda pokriva se u iznosu 14.263,34 € iz prenesenog viška poslovanja i odnosi se na plaće pripravnica. Preostali manjak prihoda u iznosu 88.013,03 € odnosi se na metodološki manjak razdoblja i bit će pokriven u toku mjeseca siječnja 2026. godine.</w:t>
      </w:r>
    </w:p>
    <w:p w14:paraId="23649FDC" w14:textId="77777777" w:rsidR="00A071AF" w:rsidRDefault="00A071AF"/>
    <w:p w14:paraId="6655818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2AF5B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77FA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A37F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2AF7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237C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3AFE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10BF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77B31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6080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AFD2C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535D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053E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E842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14.263,34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FB1F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2B288F" w14:textId="77777777" w:rsidR="00A071AF" w:rsidRDefault="00A071AF">
      <w:pPr>
        <w:spacing w:after="0"/>
      </w:pPr>
    </w:p>
    <w:p w14:paraId="3EBFA53B" w14:textId="77777777" w:rsidR="00A071AF" w:rsidRDefault="00C57D0E">
      <w:r>
        <w:t>Višak prihoda poslovanja prenesen je iz 2024. godine u iznosu 45.589,27€. Prihod je ostvaren korištenjem mjere Aktivne politike zapošljavanja, a nije utrošen u cijelosti jer su dvije zaposlene pripravnice podnijele zahtjev za sporazumni raskid Ugovora o radu na određeno vrijeme prije isteka Ugovora o dodjeli potpore za pripravništvo u javnim službama te je neiskorišteni dio od 29.325,93 € vraćen Hrvatskom zavodu za zapošljavanje, a iznos od 14.263,34 € u potpunosti poriva rashod plaća pripravnica u 2025. go</w:t>
      </w:r>
      <w:r>
        <w:t>dini.</w:t>
      </w:r>
    </w:p>
    <w:p w14:paraId="59329383" w14:textId="77777777" w:rsidR="00A071AF" w:rsidRDefault="00A071AF"/>
    <w:p w14:paraId="0451E295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64A70C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E276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95F0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F382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A1B3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3E2A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B054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CD343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EC732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CCD5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E45F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EF9E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5353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88.013,03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61CF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C0DAAF" w14:textId="77777777" w:rsidR="00A071AF" w:rsidRDefault="00A071AF">
      <w:pPr>
        <w:spacing w:after="0"/>
      </w:pPr>
    </w:p>
    <w:p w14:paraId="049260EA" w14:textId="77777777" w:rsidR="00A071AF" w:rsidRDefault="00C57D0E">
      <w:r>
        <w:t>Metodološki manjak razdoblja, bit će pokriven u toku mjeseca siječnja 2026. godine, uključuje rashode plaća, kontinuirane rashode režija i najmova te ostale rashode redovnog poslovanja nastale u mjesecu prosincu 2025. godine.</w:t>
      </w:r>
    </w:p>
    <w:p w14:paraId="7E9CB5B7" w14:textId="77777777" w:rsidR="00A071AF" w:rsidRDefault="00A071AF"/>
    <w:p w14:paraId="5CF41CF9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FEC2B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8611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160A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5FAC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3684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47BE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14BF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58DB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8647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12BD5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5739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127C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0AE2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43.590,09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6D1D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58102534" w14:textId="77777777" w:rsidR="00A071AF" w:rsidRDefault="00A071AF">
      <w:pPr>
        <w:spacing w:after="0"/>
      </w:pPr>
    </w:p>
    <w:p w14:paraId="7E701C9F" w14:textId="77777777" w:rsidR="00A071AF" w:rsidRDefault="00C57D0E">
      <w:r>
        <w:t xml:space="preserve">Stanje novčanih sredstava na žiroračunu kod tuzemnih poslovnih banaka (račun 1112) na početku godine (1.1.2025.) iznosi 43.590,09 €, sastoji se od 0,82 € kao obveza za povrat u proračun po pozitivnom </w:t>
      </w:r>
      <w:proofErr w:type="spellStart"/>
      <w:r>
        <w:t>pripisu</w:t>
      </w:r>
      <w:proofErr w:type="spellEnd"/>
      <w:r>
        <w:t xml:space="preserve"> kamate i 43.589,27 € kao preostali dio neiskorištenih sredstava primljenih od Hrvatskog zavoda za zapošljavanje za financiranje plaća pripravnika.</w:t>
      </w:r>
    </w:p>
    <w:p w14:paraId="2E06ECB5" w14:textId="77777777" w:rsidR="00A071AF" w:rsidRDefault="00A071AF"/>
    <w:p w14:paraId="5AB3B9C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F25CE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B52A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E831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812E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AD47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5557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D4CB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E2085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27DB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CFA8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386A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263D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43.590,09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C92B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509A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5,7</w:t>
            </w:r>
          </w:p>
        </w:tc>
      </w:tr>
    </w:tbl>
    <w:p w14:paraId="10AB185D" w14:textId="77777777" w:rsidR="00A071AF" w:rsidRDefault="00A071AF">
      <w:pPr>
        <w:spacing w:after="0"/>
      </w:pPr>
    </w:p>
    <w:p w14:paraId="0ED26DFF" w14:textId="77777777" w:rsidR="00A071AF" w:rsidRDefault="00C57D0E">
      <w:r>
        <w:t xml:space="preserve">Stanje na kraju izvještajnog razdoblja (31.12.2025.) iznosi 2.500,10 €, a odnosi se na obvezu za povrat u proračun po pozitivnom </w:t>
      </w:r>
      <w:proofErr w:type="spellStart"/>
      <w:r>
        <w:t>pripisu</w:t>
      </w:r>
      <w:proofErr w:type="spellEnd"/>
      <w:r>
        <w:t xml:space="preserve"> kamate u iznosu 0.10 € i nenamjenskih donacija od trgovačkih društava u ukupnom iznosu 2.500,00 €. </w:t>
      </w:r>
    </w:p>
    <w:p w14:paraId="39D28AAE" w14:textId="77777777" w:rsidR="00A071AF" w:rsidRDefault="00A071AF"/>
    <w:p w14:paraId="5D1F1425" w14:textId="77777777" w:rsidR="00A071AF" w:rsidRDefault="00C57D0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C54AE9B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A783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B17A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6FCA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7086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A35A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A1B0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B5B3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52605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9B65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572B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F809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623E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75.737,45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D6F4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1.051.135,09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3B0E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1387,9</w:t>
            </w:r>
          </w:p>
        </w:tc>
      </w:tr>
    </w:tbl>
    <w:p w14:paraId="0EABF8E7" w14:textId="77777777" w:rsidR="00A071AF" w:rsidRDefault="00A071AF">
      <w:pPr>
        <w:spacing w:after="0"/>
      </w:pPr>
    </w:p>
    <w:p w14:paraId="76786D83" w14:textId="77777777" w:rsidR="00A071AF" w:rsidRDefault="00C57D0E">
      <w:r>
        <w:t xml:space="preserve">Nefinancijska imovina sastoji se od </w:t>
      </w:r>
      <w:proofErr w:type="spellStart"/>
      <w:r>
        <w:t>neproizvedene</w:t>
      </w:r>
      <w:proofErr w:type="spellEnd"/>
      <w:r>
        <w:t xml:space="preserve"> dugotrajne imovine odnosno nematerijalne u iznosu 904.826.25 €, proizvedene dugotrajne imovine u iznosu od 121.833,84 € koja se sastoji od uredske opreme i namještaja u iznosu 36.571,16 €, uređaja, strojeva i opreme za ostale namjene u iznosu 8.830,74 €, prijevoznih sredstava u iznosu 113.050,54 €. Ispravak vrijednosti postrojenja i opreme iznosi 9.290,25 € dok ispravak vrijednosti prijevoznih sredstava iznosi 27.328,35 €.</w:t>
      </w:r>
    </w:p>
    <w:p w14:paraId="050E3241" w14:textId="77777777" w:rsidR="00A071AF" w:rsidRDefault="00C57D0E">
      <w:r>
        <w:t xml:space="preserve">Sitan inventar i </w:t>
      </w:r>
      <w:proofErr w:type="spellStart"/>
      <w:r>
        <w:t>autogume</w:t>
      </w:r>
      <w:proofErr w:type="spellEnd"/>
      <w:r>
        <w:t xml:space="preserve"> - ukupan iznos nabave od 22.759,16 € ima u potpunosti ispravljenu vrijednost.</w:t>
      </w:r>
    </w:p>
    <w:p w14:paraId="0CAA9E3D" w14:textId="77777777" w:rsidR="00A071AF" w:rsidRDefault="00C57D0E">
      <w:r>
        <w:t>Dugotrajna nefinancijska imovina u pripremi odnosi se na građevinske objekte u pripremi i iznosi 24.475,00 €.</w:t>
      </w:r>
    </w:p>
    <w:p w14:paraId="08854D99" w14:textId="77777777" w:rsidR="00A071AF" w:rsidRDefault="00C57D0E">
      <w:r>
        <w:t> </w:t>
      </w:r>
    </w:p>
    <w:p w14:paraId="7CFEAC56" w14:textId="77777777" w:rsidR="00A071AF" w:rsidRDefault="00A071AF"/>
    <w:p w14:paraId="51266391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7C93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6831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1271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637C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5FE7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02F3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020D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F157F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C324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6276B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1DE1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10ED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4023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904.826,25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5A7D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C4B1FC" w14:textId="77777777" w:rsidR="00A071AF" w:rsidRDefault="00A071AF">
      <w:pPr>
        <w:spacing w:after="0"/>
      </w:pPr>
    </w:p>
    <w:p w14:paraId="32ECF327" w14:textId="77777777" w:rsidR="00A071AF" w:rsidRDefault="00C57D0E">
      <w:r>
        <w:t>Ulaganje na tuđoj imovini radi prava korištenja građevine prema Ugovoru o uporabi poslovnih prostorija u javnoj zgradi socijalne ustanove u Pribislavcu sklopljenog 28. ožujka 2025. godine između Republike Hrvatske i Centra za pružanje usluga u zajednici Međimurje vezanog uz provedbu projekta Centra za ranu intervenciju u djetinjstvu MURID u Pribislavcu, Braće Radića 2c, a temeljem Sporazuma o partnerstvu sklopljenog 28. ožujka 2025. između Centra za pružanje usluga u zajednici Međimurje i Centra MURID te Ug</w:t>
      </w:r>
      <w:r>
        <w:t xml:space="preserve">ovora o preuzimanju duga sklopljenog 30. travnja 2025. između Centra MURID kao prvotnog dužnika, Centra za pružanje usluga u zajednici Međimurje kao novog dužnika i poduzeća </w:t>
      </w:r>
      <w:proofErr w:type="spellStart"/>
      <w:r>
        <w:t>Lukabella</w:t>
      </w:r>
      <w:proofErr w:type="spellEnd"/>
      <w:r>
        <w:t xml:space="preserve"> d.o.o. kao vjerovnika u iznosu 40.000,00 €, te Ugovora o preuzimanju duga sklopljenog 30. travnja 2025. između Centra MURID kao prvotnog dužnika, Centra za pružanje usluga u zajednici Međimurje kao novog dužnika i poduzeća </w:t>
      </w:r>
      <w:proofErr w:type="spellStart"/>
      <w:r>
        <w:t>Đurkin</w:t>
      </w:r>
      <w:proofErr w:type="spellEnd"/>
      <w:r>
        <w:t xml:space="preserve"> d.o.o. kao vjerovnika u iznosu 847.263,75 €, zatim prema Ugovoru o korištenju nekretnine sklopljen</w:t>
      </w:r>
      <w:r>
        <w:t>og 11. srpnja 2023. godine između Međimurske županije i Centra za pružanje usluga u zajednici Međimurje ulaganje na građevini ustupljenoj na korištenje zbog provedbe rekonstrukcije, adaptacije i prenamjene na adresi Matice hrvatske 1C u Čakovcu u ukupnom iznosu 16.500,00 € te procjena klimatskog potvrđivanja infrastrukture na klimatske promjene za istu lokaciju u iznosu 1.062,50 €.</w:t>
      </w:r>
    </w:p>
    <w:p w14:paraId="4738FA81" w14:textId="77777777" w:rsidR="00A071AF" w:rsidRDefault="00A071AF"/>
    <w:p w14:paraId="6FEF10CF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4A590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4CF4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FECC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B1A9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797D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A4CB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E928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F7826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CB3A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4403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F78A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5A61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20.418,49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1BC5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36.111,65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406D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176,9</w:t>
            </w:r>
          </w:p>
        </w:tc>
      </w:tr>
    </w:tbl>
    <w:p w14:paraId="6F612B09" w14:textId="77777777" w:rsidR="00A071AF" w:rsidRDefault="00A071AF">
      <w:pPr>
        <w:spacing w:after="0"/>
      </w:pPr>
    </w:p>
    <w:p w14:paraId="7DBCEFC7" w14:textId="77777777" w:rsidR="00A071AF" w:rsidRDefault="00C57D0E">
      <w:r>
        <w:t xml:space="preserve">Namještaj je doniran od poduzeća Prima </w:t>
      </w:r>
      <w:proofErr w:type="spellStart"/>
      <w:r>
        <w:t>Commerce</w:t>
      </w:r>
      <w:proofErr w:type="spellEnd"/>
      <w:r>
        <w:t xml:space="preserve"> d.o.o. u vrijednosti 2.392,75 €, nabavljen je namještaj za potrebe opremanja poslovnog prostora u Pribislavcu u vrijednosti 12.218,13 €,  a oprema za rad od Ministarstva rada, mirovinskog sustava, obitelji i socijalne politike u vrijednosti 21.960,28 € te su nabavljeni uređaji, strojevi i oprema za ostale namjene u ukupnom iznosu 8.830,74 €. Ispravak vrijednosti postrojenja i opreme iznosi 9.290,25 €.</w:t>
      </w:r>
    </w:p>
    <w:p w14:paraId="54479AB4" w14:textId="77777777" w:rsidR="00A071AF" w:rsidRDefault="00A071AF"/>
    <w:p w14:paraId="5A06DD81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63B26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C903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4FBC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BAF7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6A46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E8E5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66D0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0A0F5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C6D0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7F748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5D70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36F0A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55.318,96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BDB1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85.722,19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1BF3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155,0</w:t>
            </w:r>
          </w:p>
        </w:tc>
      </w:tr>
    </w:tbl>
    <w:p w14:paraId="39EF426C" w14:textId="77777777" w:rsidR="00A071AF" w:rsidRDefault="00A071AF">
      <w:pPr>
        <w:spacing w:after="0"/>
      </w:pPr>
    </w:p>
    <w:p w14:paraId="2AD3EC99" w14:textId="77777777" w:rsidR="00A071AF" w:rsidRDefault="00C57D0E">
      <w:r>
        <w:t>Prijevozna sredstava knjigovodstvene vrijednosti od 63.350,54 €. U ovoj godini nabavljeno je novo vozilo vrijednosti 49.700,00 € te s postojećim imaju ukupnu vrijednost od 113.050,54 € dok ispravak vrijednosti iznosi 27.328,35 €.</w:t>
      </w:r>
    </w:p>
    <w:p w14:paraId="1F2873D7" w14:textId="77777777" w:rsidR="00A071AF" w:rsidRDefault="00A071AF"/>
    <w:p w14:paraId="6DF0B2CE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6E018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86F6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7029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BF0F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8FD5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BCDD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5A0A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729EFF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41DA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C15B9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483B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E73C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12.024,89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C60D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22.759,16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AC50A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189,3</w:t>
            </w:r>
          </w:p>
        </w:tc>
      </w:tr>
    </w:tbl>
    <w:p w14:paraId="58AE03AE" w14:textId="77777777" w:rsidR="00A071AF" w:rsidRDefault="00A071AF">
      <w:pPr>
        <w:spacing w:after="0"/>
      </w:pPr>
    </w:p>
    <w:p w14:paraId="26D005B3" w14:textId="77777777" w:rsidR="00A071AF" w:rsidRDefault="00C57D0E">
      <w:r>
        <w:t>Sitan inventar i auto gume – ukupan iznos nabave od 22.759,16 € ima u potpunosti ispravljenu vrijednost</w:t>
      </w:r>
    </w:p>
    <w:p w14:paraId="1577758D" w14:textId="77777777" w:rsidR="00A071AF" w:rsidRDefault="00A071AF"/>
    <w:p w14:paraId="22E56DAD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544A99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D5C5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B5A6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900F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780E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961C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9082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F27B3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EF14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C0D3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39C3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CF4C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62C8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6715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0F071A" w14:textId="77777777" w:rsidR="00A071AF" w:rsidRDefault="00A071AF">
      <w:pPr>
        <w:spacing w:after="0"/>
      </w:pPr>
    </w:p>
    <w:p w14:paraId="38902053" w14:textId="77777777" w:rsidR="00A071AF" w:rsidRDefault="00C57D0E">
      <w:r>
        <w:t xml:space="preserve">Građevinski objekti u pripremi - dvije kuće za organizirano stanovanje djece bez odgovarajuće roditeljske skrbi u Ivanovcu i </w:t>
      </w:r>
      <w:proofErr w:type="spellStart"/>
      <w:r>
        <w:t>Dunjkovcu</w:t>
      </w:r>
      <w:proofErr w:type="spellEnd"/>
      <w:r>
        <w:t>, projekt opremanja i uređenja u iznosu 3.000,00 €, izrada projektno-tehničke dokumentacije za izgradnju u iznosu 19.350,00 €, izrada projekta procjene klimatskog potvrđivanja infrastrukture na klimatske procjene u iznosu 2.125,00 €</w:t>
      </w:r>
    </w:p>
    <w:p w14:paraId="0C34EC9E" w14:textId="77777777" w:rsidR="00A071AF" w:rsidRDefault="00A071AF"/>
    <w:p w14:paraId="65662DE2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D22E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B11B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27DE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5EA0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EFA5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6842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83D4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04609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8FB2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8781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2D6A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2950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128.734,28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BC97E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DB71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3,2</w:t>
            </w:r>
          </w:p>
        </w:tc>
      </w:tr>
    </w:tbl>
    <w:p w14:paraId="29D92908" w14:textId="77777777" w:rsidR="00A071AF" w:rsidRDefault="00A071AF">
      <w:pPr>
        <w:spacing w:after="0"/>
      </w:pPr>
    </w:p>
    <w:p w14:paraId="0B07DCEB" w14:textId="77777777" w:rsidR="00A071AF" w:rsidRDefault="00C57D0E">
      <w:r>
        <w:t xml:space="preserve">Financijska imovina sastoji se od novca na računu kod tuzemnih banaka 2.500,10 € - iznos se odnosi na primljenu nenamjensku donaciju od trgovačkih društava </w:t>
      </w:r>
      <w:proofErr w:type="spellStart"/>
      <w:r>
        <w:t>Đurkin</w:t>
      </w:r>
      <w:proofErr w:type="spellEnd"/>
      <w:r>
        <w:t xml:space="preserve"> d.o.o. u iznosu 500,00 € i Zaklada </w:t>
      </w:r>
      <w:proofErr w:type="spellStart"/>
      <w:r>
        <w:t>Pevex</w:t>
      </w:r>
      <w:proofErr w:type="spellEnd"/>
      <w:r>
        <w:t xml:space="preserve"> 2.000,00 €, pripisa pozitivne kamate 0,10 €, ostalih potraživanja u iznosu 1.573,74 €, a to su potraživanja za bolovanje od Hrvatskog zavoda za zdravstveno osiguranje – refundacija bolovanja u iznosu 955,91 € i potraživanja za naknade koje se refundiraju, a odnose se na režijske troškove koje dijelimo s Centrom MURID u iznosu 617,83 €.</w:t>
      </w:r>
    </w:p>
    <w:p w14:paraId="47B2E203" w14:textId="77777777" w:rsidR="00A071AF" w:rsidRDefault="00C57D0E">
      <w:r>
        <w:t> </w:t>
      </w:r>
    </w:p>
    <w:p w14:paraId="3495613C" w14:textId="77777777" w:rsidR="00A071AF" w:rsidRDefault="00A071AF"/>
    <w:p w14:paraId="61C013F6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6E031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AA40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45ED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728F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B2A7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869C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DBAC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2894BD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832C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0002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21961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46FD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85.145,01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3372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92.086,87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8189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6D3DD86F" w14:textId="77777777" w:rsidR="00A071AF" w:rsidRDefault="00A071AF">
      <w:pPr>
        <w:spacing w:after="0"/>
      </w:pPr>
    </w:p>
    <w:p w14:paraId="78A50FCF" w14:textId="77777777" w:rsidR="00A071AF" w:rsidRDefault="00C57D0E">
      <w:r>
        <w:t>Obveze za zaposlene u iznosu od 84.054,47 €  (obveza za isplatu plaće za mjesec prosinac 2025. godine u iznosu 83.373,41 € i obveza za bolovanje – refundacija HZZO 681,06 €). Obveze za materijalne rashode koji se odnose na prosinac 2025. godine u iznosu od 7.757,45 €. Ostale tekuće obveze u iznosu 274,95 € (obveze prema riznici za refundaciju bolovanja na teret HZZO i obveza za povrat u proračun).</w:t>
      </w:r>
    </w:p>
    <w:p w14:paraId="6F5C7135" w14:textId="77777777" w:rsidR="00A071AF" w:rsidRDefault="00A071AF"/>
    <w:p w14:paraId="486FE594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74E6A5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74B3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C43E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6027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920E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085C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8014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F68D1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4EBC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8697B2" w14:textId="77777777" w:rsidR="00A071AF" w:rsidRDefault="00C57D0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6766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95F7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1.849.908,51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FBFB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2.774.565,93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B33A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03429A6D" w14:textId="77777777" w:rsidR="00A071AF" w:rsidRDefault="00A071AF">
      <w:pPr>
        <w:spacing w:after="0"/>
      </w:pPr>
    </w:p>
    <w:p w14:paraId="2D2AF083" w14:textId="77777777" w:rsidR="00A071AF" w:rsidRDefault="00C57D0E">
      <w:r>
        <w:t>Odnose se na tuđu imovinu koja je dana na korištenje Centru za pružanje usluga u zajednici Međimurje:</w:t>
      </w:r>
    </w:p>
    <w:p w14:paraId="63598BCF" w14:textId="77777777" w:rsidR="00A071AF" w:rsidRDefault="00C57D0E">
      <w:r>
        <w:t>-nekretnine s opremom za provođenje usluga poludnevnog boravka i prostor za potrebe sjedišta procijenjene vrijednosti 1.757.337,40 €</w:t>
      </w:r>
    </w:p>
    <w:p w14:paraId="7D557A35" w14:textId="77777777" w:rsidR="00A071AF" w:rsidRDefault="00C57D0E">
      <w:r>
        <w:t>-kuća za provođenje usluge organiziranog stanovanja s opremom procijenjene vrijednosti 20.800,00 €</w:t>
      </w:r>
    </w:p>
    <w:p w14:paraId="533E46AD" w14:textId="77777777" w:rsidR="00A071AF" w:rsidRDefault="00C57D0E">
      <w:r>
        <w:t>-kuća za provođenje usluge organiziranog stanovanja procijenjene vrijednosti 48.600,00 €</w:t>
      </w:r>
    </w:p>
    <w:p w14:paraId="172A4BC4" w14:textId="77777777" w:rsidR="00A071AF" w:rsidRDefault="00C57D0E">
      <w:r>
        <w:t>-telefonska oprema u najmu procijenjene vrijednosti 71,55 €</w:t>
      </w:r>
    </w:p>
    <w:p w14:paraId="4CA96DC7" w14:textId="77777777" w:rsidR="00A071AF" w:rsidRDefault="00C57D0E">
      <w:r>
        <w:t>-držači sanitarne opreme procijenjene vrijednosti 370,50 €</w:t>
      </w:r>
    </w:p>
    <w:p w14:paraId="1AE54163" w14:textId="77777777" w:rsidR="00A071AF" w:rsidRDefault="00C57D0E">
      <w:r>
        <w:t>-višenamjenski ispisni uređaji u najmu procijenjene vrijednosti 10.900,00 €</w:t>
      </w:r>
    </w:p>
    <w:p w14:paraId="680A417D" w14:textId="77777777" w:rsidR="00A071AF" w:rsidRDefault="00C57D0E">
      <w:r>
        <w:t>-uredska oprema procijenjene vrijednosti 3.174,31 €</w:t>
      </w:r>
    </w:p>
    <w:p w14:paraId="6C7F4009" w14:textId="77777777" w:rsidR="00A071AF" w:rsidRDefault="00C57D0E">
      <w:r>
        <w:t>-bjanko zadužnice  - jamstva za ozbiljnost ponuda u vrijednosti 30.000,00 €</w:t>
      </w:r>
    </w:p>
    <w:p w14:paraId="68C87B20" w14:textId="77777777" w:rsidR="00A071AF" w:rsidRDefault="00C57D0E">
      <w:r>
        <w:t>-oprema preuzeta za opremanje Centra sukladno sklopljenom Memorandumu o razumijevanju između Ureda UNICEF-a za Hrvatsku i Ministarstva u vrijednosti 16.048,42 €</w:t>
      </w:r>
    </w:p>
    <w:p w14:paraId="6E285D27" w14:textId="77777777" w:rsidR="00A071AF" w:rsidRDefault="00C57D0E">
      <w:r>
        <w:t>-nekretnina s opremom - Pribislavec, Braće Radića 2c - 887.263,75 €.</w:t>
      </w:r>
    </w:p>
    <w:p w14:paraId="1D8A9BE7" w14:textId="77777777" w:rsidR="00A071AF" w:rsidRDefault="00A071AF"/>
    <w:p w14:paraId="698BB4C6" w14:textId="77777777" w:rsidR="00A071AF" w:rsidRDefault="00C57D0E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FA2F130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24D55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B8F7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A7CB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FB88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6B52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FCBF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1A5A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93F0E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8CDA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87402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Obitelj i djeca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46AD7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371B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593.359,53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DD7B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1.317.392,92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857D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222,0</w:t>
            </w:r>
          </w:p>
        </w:tc>
      </w:tr>
    </w:tbl>
    <w:p w14:paraId="530DC9D9" w14:textId="77777777" w:rsidR="00A071AF" w:rsidRDefault="00A071AF">
      <w:pPr>
        <w:spacing w:after="0"/>
      </w:pPr>
    </w:p>
    <w:p w14:paraId="53057D12" w14:textId="77777777" w:rsidR="00A071AF" w:rsidRDefault="00C57D0E">
      <w:r>
        <w:t>Rashodi poslovanja u iznosu 1.267.693,92 € i rashod za nabavu električnog vozila u iznosu 49.700 €.</w:t>
      </w:r>
    </w:p>
    <w:p w14:paraId="149C0351" w14:textId="77777777" w:rsidR="00A071AF" w:rsidRDefault="00A071AF"/>
    <w:p w14:paraId="403803DB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3C64C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8C2B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2143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E248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BF86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56B7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7E12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56441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AB78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EBDB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pomoć stanovništvu koje nije obuhvaćeno redovnim socijalnim programima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0AD8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E2B78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35.918,77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69E8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D0F6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53,2</w:t>
            </w:r>
          </w:p>
        </w:tc>
      </w:tr>
    </w:tbl>
    <w:p w14:paraId="0232957D" w14:textId="77777777" w:rsidR="00A071AF" w:rsidRDefault="00A071AF">
      <w:pPr>
        <w:spacing w:after="0"/>
      </w:pPr>
    </w:p>
    <w:p w14:paraId="699D8DC9" w14:textId="77777777" w:rsidR="00A071AF" w:rsidRDefault="00C57D0E">
      <w:r>
        <w:t xml:space="preserve">Rashodi obuhvaćaju iznos od 16.125,00 € odnosno 50% ugovorenog iznosa po predaji glavnih projekata za građevinsku dozvolu za izradu projektno-tehničke dokumentacije izgradnje dviju kuća za organizirano stanovanje djece bez odgovarajuće roditeljske skrbi za potrebe obavljanja djelatnosti Centra za pružanje usluga u zajednici Međimurje u Ivanovcu i </w:t>
      </w:r>
      <w:proofErr w:type="spellStart"/>
      <w:r>
        <w:t>Dunjkovcu</w:t>
      </w:r>
      <w:proofErr w:type="spellEnd"/>
      <w:r>
        <w:t xml:space="preserve"> i iznos od 3.000,00 € za izradu projekta opremanja i uređenja tih kuća.</w:t>
      </w:r>
    </w:p>
    <w:p w14:paraId="5C554CC2" w14:textId="77777777" w:rsidR="00A071AF" w:rsidRDefault="00A071AF"/>
    <w:p w14:paraId="4F6E9F2B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0C8BB0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D15A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48A1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3BB0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AC77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23A5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4812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2222A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A771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6DC2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Aktivnosti socijalne zaštite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7E21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948B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8B0A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926.826,39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E251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3D43B81" w14:textId="77777777" w:rsidR="00A071AF" w:rsidRDefault="00A071AF">
      <w:pPr>
        <w:spacing w:after="0"/>
      </w:pPr>
    </w:p>
    <w:p w14:paraId="2FFBAA10" w14:textId="77777777" w:rsidR="00A071AF" w:rsidRDefault="00C57D0E">
      <w:r>
        <w:t xml:space="preserve">Rashod zbog namirenja dugovanja nastalog u izgradnji građevine - provedba projekta Centra za ranu intervenciju u djetinjstvu MURID u Pribislavcu, Braće Radića 2c, a temeljem Sporazuma o partnerstvu sklopljenog 28. ožujka 2025. između Centra za pružanje usluga u zajednici Međimurje i Centra MURID te Ugovora o preuzimanju duga sklopljenog 30. travnja 2025. između Centra MURID kao prvotnog dužnika, Centra za pružanje usluga u zajednici Međimurje kao novog dužnika i poduzeća </w:t>
      </w:r>
      <w:proofErr w:type="spellStart"/>
      <w:r>
        <w:t>Lukabella</w:t>
      </w:r>
      <w:proofErr w:type="spellEnd"/>
      <w:r>
        <w:t xml:space="preserve"> d.o.o. kao vjerovnika u iznosu 40.000,00 €, te Ugovora o preuzimanju duga sklopljenog 30. travnja 2025. između Centra MURID kao prvotnog dužnika, Centra za pružanje usluga u zajednici Međimurje kao novog dužnika i poduzeća </w:t>
      </w:r>
      <w:proofErr w:type="spellStart"/>
      <w:r>
        <w:t>Đurkin</w:t>
      </w:r>
      <w:proofErr w:type="spellEnd"/>
      <w:r>
        <w:t xml:space="preserve"> d.o.o. kao vjerovnika u iznosu 847.263,75 €, rashod od 3.225,00 € za 10% ugovorenog iznosa po prihvaćanju idejnog rješenja za izradu projektno-tehničke dokumentacije izgradnje dviju kuća za organizirano stanovanje djece bez odgovarajuće roditeljske skrbi za potrebe obavlj</w:t>
      </w:r>
      <w:r>
        <w:t xml:space="preserve">anja djelatnosti Centra za pružanje usluga u zajednici Međimurje u Ivanovcu i </w:t>
      </w:r>
      <w:proofErr w:type="spellStart"/>
      <w:r>
        <w:t>Dunjkovcu</w:t>
      </w:r>
      <w:proofErr w:type="spellEnd"/>
      <w:r>
        <w:t xml:space="preserve"> rashod za nabavu uredskog namještaja u iznosu 12.218,13 € odnosi se na kupovinu novog namještaja za potrebe opremanja prostora privremenog sjedišta Centra na lokaciji u Pribislavcu, rashod za nabavu kućanskih aparata za uslugu organiziranog stanovanja (sušilica rublja, perilica posuđa, perilica rublja, TV, hladnjak, zamrzivač) u iznosu 4.432,01 €, rashod za financiranje 10% ugovorenog iznosa (3.300,00 €) po prihvaćanju i</w:t>
      </w:r>
      <w:r>
        <w:t>dejnog rješenja dodatnog ulaganja te 40% ugovorenog iznosa (13.200,00 €) po predaji glavnih projekata za građevinsku dozvolu na objektu prema Ugovoru za izradu projektno-tehničke dokumentacije za građevinu ustupljenu na korištenje na lokaciji Matice hrvatske 1C u Čakovcu i rashod od 3.187,50 € za uslugu izrade dokumenata "procjene klimatskog potvrđivanja infrastrukture na klimatske promjene" za projekt rekonstrukcije i adaptacije poslovne zgrade Centra Međimurje na lokaciji Matice hrvatske 1C u Čakovcu.</w:t>
      </w:r>
    </w:p>
    <w:p w14:paraId="64B7F0DE" w14:textId="77777777" w:rsidR="00A071AF" w:rsidRDefault="00A071AF"/>
    <w:p w14:paraId="7FA0524E" w14:textId="77777777" w:rsidR="00A071AF" w:rsidRDefault="00C57D0E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4827C7D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362120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E8E8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E464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9FF7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A0F2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461B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4E6A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B588F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748E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B3C43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B621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E428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BF84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25.476,25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0D2E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487,8</w:t>
            </w:r>
          </w:p>
        </w:tc>
      </w:tr>
    </w:tbl>
    <w:p w14:paraId="3F8EFDA2" w14:textId="77777777" w:rsidR="00A071AF" w:rsidRDefault="00A071AF">
      <w:pPr>
        <w:spacing w:after="0"/>
      </w:pPr>
    </w:p>
    <w:p w14:paraId="6BA4FDB3" w14:textId="77777777" w:rsidR="00A071AF" w:rsidRDefault="00C57D0E">
      <w:r>
        <w:t>Smanjenja vrijednosti imovine u iznosu od 24.476,25 € na poziciji proizvedene dugotrajne imovine, a odnosi se na godišnji ispravak vrijednosti imovine.</w:t>
      </w:r>
    </w:p>
    <w:p w14:paraId="33A5B1AA" w14:textId="77777777" w:rsidR="00A071AF" w:rsidRDefault="00A071AF"/>
    <w:p w14:paraId="769DA77D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071AF" w14:paraId="115C3B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F535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DA81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678F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C345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0AA7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7C42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2F0B4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DD24E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9B6BB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3E6D9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BCE2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17FCB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07AB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75A620E" w14:textId="77777777" w:rsidR="00A071AF" w:rsidRDefault="00A071AF">
      <w:pPr>
        <w:spacing w:after="0"/>
      </w:pPr>
    </w:p>
    <w:p w14:paraId="6170B17D" w14:textId="77777777" w:rsidR="00A071AF" w:rsidRDefault="00C57D0E">
      <w:r>
        <w:t>Povećanja u obujmu imovine u iznosu od 5.222,50 € na poziciji proizvedene dugotrajne imovine, a odnosi se na imovinu koja je ustupljena od Ministarstva rada, mirovinskog sustava, obitelji i socijalne politike bez naknade, a uključuje monitore, prijenosna računala, stolna računala.</w:t>
      </w:r>
    </w:p>
    <w:p w14:paraId="3B55F2BC" w14:textId="77777777" w:rsidR="00A071AF" w:rsidRDefault="00A071AF"/>
    <w:p w14:paraId="6B4DE678" w14:textId="77777777" w:rsidR="00A071AF" w:rsidRDefault="00C57D0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68F7112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566FCD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1938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5BA0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D539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B92A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6EF1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5A21DA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C46AC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0015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10E3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A83F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85.145,01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5282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CCF507" w14:textId="77777777" w:rsidR="00A071AF" w:rsidRDefault="00A071AF">
      <w:pPr>
        <w:spacing w:after="0"/>
      </w:pPr>
    </w:p>
    <w:p w14:paraId="54E103A1" w14:textId="77777777" w:rsidR="00A071AF" w:rsidRDefault="00C57D0E">
      <w:r>
        <w:t>Stanje obveza na kraju razdoblja iznosi 85.145,01 €, a odnosi se na obveze za zaposlene u iznosu 76.308,43 €, obveze za materijalne rashode u iznosu 8.427,69 €, obveze za financijske rashode u iznosu 1,66 € i ostale tekuće obveze u iznosu 407,23 €.</w:t>
      </w:r>
    </w:p>
    <w:p w14:paraId="57551B84" w14:textId="77777777" w:rsidR="00A071AF" w:rsidRDefault="00A071AF"/>
    <w:p w14:paraId="770D8399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49383A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E6CF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6CDE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58A5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8A4F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C5EA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F0D35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DE1AB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70B8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1180C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46971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2.220.323,82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DC8CD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CAE904" w14:textId="77777777" w:rsidR="00A071AF" w:rsidRDefault="00A071AF">
      <w:pPr>
        <w:spacing w:after="0"/>
      </w:pPr>
    </w:p>
    <w:p w14:paraId="6B59ECAE" w14:textId="77777777" w:rsidR="00A071AF" w:rsidRDefault="00C57D0E">
      <w:r>
        <w:t>Tijekom izvještajnog razdoblja bilo je povećanje obveza u iznosu od 2.220.323,82 €, a odnose se na:</w:t>
      </w:r>
    </w:p>
    <w:p w14:paraId="73D9D22F" w14:textId="77777777" w:rsidR="00A071AF" w:rsidRDefault="00C57D0E">
      <w:r>
        <w:t>-       Obveze za zaposlene u iznosu od 955.755,92 €, za isplatu plaća i prava po TKU</w:t>
      </w:r>
    </w:p>
    <w:p w14:paraId="06614266" w14:textId="77777777" w:rsidR="00A071AF" w:rsidRDefault="00C57D0E">
      <w:r>
        <w:t>-       Obveze za materijalne rashode u iznosu od 225.876,87 € </w:t>
      </w:r>
    </w:p>
    <w:p w14:paraId="5C3CF721" w14:textId="77777777" w:rsidR="00A071AF" w:rsidRDefault="00C57D0E">
      <w:r>
        <w:t>-       Obveze za financijske rashode u iznosu od 525,94 €</w:t>
      </w:r>
    </w:p>
    <w:p w14:paraId="29E1900C" w14:textId="77777777" w:rsidR="00A071AF" w:rsidRDefault="00C57D0E">
      <w:r>
        <w:t>-       Obveze za naknade građanima i kućanstvima u iznosu 6.562,69 €</w:t>
      </w:r>
    </w:p>
    <w:p w14:paraId="4D5FD4C8" w14:textId="77777777" w:rsidR="00A071AF" w:rsidRDefault="00C57D0E">
      <w:r>
        <w:t>-       Ostale tekuće obveze u iznosu od 33.599,93 €</w:t>
      </w:r>
    </w:p>
    <w:p w14:paraId="7072CDE0" w14:textId="77777777" w:rsidR="00A071AF" w:rsidRDefault="00C57D0E">
      <w:r>
        <w:t>-       Obveze za nabavu proizvedene dugotrajne imovine u iznosu 975.963,89 €</w:t>
      </w:r>
    </w:p>
    <w:p w14:paraId="7F5106AD" w14:textId="77777777" w:rsidR="00A071AF" w:rsidRDefault="00C57D0E">
      <w:r>
        <w:t>-       Obveze za dodatna ulaganja na građevinskim objektima u iznosu 19.687,50 €</w:t>
      </w:r>
    </w:p>
    <w:p w14:paraId="627A283C" w14:textId="77777777" w:rsidR="00A071AF" w:rsidRDefault="00C57D0E">
      <w:r>
        <w:t>-       Obveze proračunskih korisnika za povrat u proračun u iznosu 2.351,08 €</w:t>
      </w:r>
    </w:p>
    <w:p w14:paraId="03667CB6" w14:textId="77777777" w:rsidR="00A071AF" w:rsidRDefault="00A071AF"/>
    <w:p w14:paraId="0DCB0FB6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691B68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6786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7007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962F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59A9B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90B1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64BDFD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5BB7E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46B7B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3241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BCE0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B0C26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B0F0FA" w14:textId="77777777" w:rsidR="00A071AF" w:rsidRDefault="00A071AF">
      <w:pPr>
        <w:spacing w:after="0"/>
      </w:pPr>
    </w:p>
    <w:p w14:paraId="0A199C9C" w14:textId="77777777" w:rsidR="00A071AF" w:rsidRDefault="00C57D0E">
      <w:r>
        <w:t>Obveze za povrat u proračun sredstava koja refundira HZZO.</w:t>
      </w:r>
    </w:p>
    <w:p w14:paraId="1399D4D5" w14:textId="77777777" w:rsidR="00A071AF" w:rsidRDefault="00A071AF"/>
    <w:p w14:paraId="0F869FC9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7DBF1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CA28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4244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1A99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2E25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2D69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1B488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A6C8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22A8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601FD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7204C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EF832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DCFE35" w14:textId="77777777" w:rsidR="00A071AF" w:rsidRDefault="00A071AF">
      <w:pPr>
        <w:spacing w:after="0"/>
      </w:pPr>
    </w:p>
    <w:p w14:paraId="3A111F1B" w14:textId="77777777" w:rsidR="00A071AF" w:rsidRDefault="00C57D0E">
      <w:r>
        <w:t>Obveza za isplatu džeparca korisnika, troškove ljetovanja i kulturno - zabavne potrebe korisnika organiziranog stanovanja i poludnevnih boravaka</w:t>
      </w:r>
    </w:p>
    <w:p w14:paraId="3DE31F5B" w14:textId="77777777" w:rsidR="00A071AF" w:rsidRDefault="00A071AF"/>
    <w:p w14:paraId="4D36CA03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1485F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0BAC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9DDB3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AF67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E164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9CD4F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4E2536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A15E4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56B2C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56C50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901B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33.599,93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4B735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A053AF" w14:textId="77777777" w:rsidR="00A071AF" w:rsidRDefault="00A071AF">
      <w:pPr>
        <w:spacing w:after="0"/>
      </w:pPr>
    </w:p>
    <w:p w14:paraId="15B706CA" w14:textId="77777777" w:rsidR="00A071AF" w:rsidRDefault="00C57D0E">
      <w:r>
        <w:t>Obveze za jamčevine u iznosu 4.274,00 € i obveza za povrat sredstava HZZ-u u iznosu 29.325,93 €.</w:t>
      </w:r>
    </w:p>
    <w:p w14:paraId="298C3F49" w14:textId="77777777" w:rsidR="00A071AF" w:rsidRDefault="00A071AF"/>
    <w:p w14:paraId="0464AD70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426376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E53F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8000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4CE9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6B22D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E4615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26778B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176D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FA5115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56713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01294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995.651,39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586F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299219" w14:textId="77777777" w:rsidR="00A071AF" w:rsidRDefault="00A071AF">
      <w:pPr>
        <w:spacing w:after="0"/>
      </w:pPr>
    </w:p>
    <w:p w14:paraId="7CD6AED5" w14:textId="77777777" w:rsidR="00A071AF" w:rsidRDefault="00C57D0E">
      <w:r>
        <w:t xml:space="preserve">Obveze za nabavu električnog vozila u iznosu 49.700,00 €, obveze u iznosu od 16.125,00 € odnosno 50% ugovorenog iznosa po predaji glavnih projekata za građevinsku dozvolu za izradu projektno-tehničke dokumentacije izgradnje dviju kuća za organizirano stanovanje djece bez odgovarajuće roditeljske skrbi za potrebe obavljanja djelatnosti Centra za pružanje usluga u zajednici Međimurje u Ivanovcu i </w:t>
      </w:r>
      <w:proofErr w:type="spellStart"/>
      <w:r>
        <w:t>Dunjkovcu</w:t>
      </w:r>
      <w:proofErr w:type="spellEnd"/>
      <w:r>
        <w:t xml:space="preserve"> i iznos od 3.000,00 € za izradu projekta opremanja i uređenja tih kuća, obveze za namirenje dugovanja nastalog u izgradnji građevine - provedba projekta Centra za ranu intervenciju u djetinjstvu MURID u Pribislavcu, Braće Radića 2c, a temeljem Sporazuma o partnerstvu sklopljenog 28. ožujka 2025. između Centra za pružanje usluga u zajednici Međimurje i Centra MURID te Ugovora o preuzimanju duga sklopljenog 30. travnja 2025. između Centra MURID kao prvotnog dužnika, Centra za pružanje usluga u zajed</w:t>
      </w:r>
      <w:r>
        <w:t xml:space="preserve">nici Međimurje kao novog dužnika i poduzeća </w:t>
      </w:r>
      <w:proofErr w:type="spellStart"/>
      <w:r>
        <w:t>Lukabella</w:t>
      </w:r>
      <w:proofErr w:type="spellEnd"/>
      <w:r>
        <w:t xml:space="preserve"> d.o.o. kao vjerovnika u iznosu 40.000,00 €, te Ugovora o preuzimanju duga sklopljenog 30. travnja 2025. između Centra MURID kao prvotnog dužnika, Centra za pružanje usluga u zajednici Međimurje kao novog dužnika i poduzeća </w:t>
      </w:r>
      <w:proofErr w:type="spellStart"/>
      <w:r>
        <w:t>Đurkin</w:t>
      </w:r>
      <w:proofErr w:type="spellEnd"/>
      <w:r>
        <w:t xml:space="preserve"> d.o.o. kao vjerovnika u iznosu 847.263,75 €, obveze od 3.225,00 € za 10% ugovorenog iznosa po prihvaćanju idejnog rješenja za izradu projektno-tehničke dokumentacije izgradnje dviju kuća za organizirano stanovanje djece bez odgo</w:t>
      </w:r>
      <w:r>
        <w:t xml:space="preserve">varajuće roditeljske skrbi za potrebe obavljanja djelatnosti Centra za pružanje usluga u zajednici Međimurje u Ivanovcu i </w:t>
      </w:r>
      <w:proofErr w:type="spellStart"/>
      <w:r>
        <w:t>Dunjkovcu</w:t>
      </w:r>
      <w:proofErr w:type="spellEnd"/>
      <w:r>
        <w:t>, obveze za nabavu uredskog namještaja u iznosu 12.218,13 € odnosi se na kupovinu novog namještaja za potrebe opremanja prostora privremenog sjedišta Centra na lokaciji u Pribislavcu, rashod za nabavu kućanskih aparata za uslugu organiziranog stanovanja (sušilica rublja, perilica posuđa, perilica rublja, TV, hladnjak, zamrzivač) u iznosu 4.432,01 €, obveza za financiranje 10% ug</w:t>
      </w:r>
      <w:r>
        <w:t xml:space="preserve">ovorenog iznosa (3.300,00 €) po prihvaćanju idejnog rješenja dodatnog ulaganja te 40% ugovorenog iznosa (13.200,00 €) po predaji glavnih projekata za građevinsku dozvolu na objektu prema Ugovoru za izradu projektno-tehničke dokumentacije za građevinu ustupljenu na korištenje na lokaciji Matice hrvatske 1C u Čakovcu i obveza od 3.187,50 € za uslugu izrade dokumenata "procjene klimatskog potvrđivanja infrastrukture na klimatske promjene" za projekt rekonstrukcije i adaptacije poslovne zgrade Centra Međimurje </w:t>
      </w:r>
      <w:r>
        <w:t>na lokaciji Matice hrvatske 1C u Čakovcu.</w:t>
      </w:r>
    </w:p>
    <w:p w14:paraId="52FE14D8" w14:textId="77777777" w:rsidR="00A071AF" w:rsidRDefault="00A071AF"/>
    <w:p w14:paraId="787278DC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5F51D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37A5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872EE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DF7D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8E138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50871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00491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FAE7F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62F48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09B46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19629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A728A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B30782" w14:textId="77777777" w:rsidR="00A071AF" w:rsidRDefault="00A071AF">
      <w:pPr>
        <w:spacing w:after="0"/>
      </w:pPr>
    </w:p>
    <w:p w14:paraId="6233AF70" w14:textId="77777777" w:rsidR="00A071AF" w:rsidRDefault="00C57D0E">
      <w:r>
        <w:t xml:space="preserve">Pozitivan </w:t>
      </w:r>
      <w:proofErr w:type="spellStart"/>
      <w:r>
        <w:t>pripis</w:t>
      </w:r>
      <w:proofErr w:type="spellEnd"/>
      <w:r>
        <w:t xml:space="preserve"> kamate po tekućem računu s obvezom uplate u državni proračun u iznosu 1,62 € i primljena refundacija od osiguravajućeg društva za popravak nastale štete na službenom vozilu u iznosu 220,09 €.</w:t>
      </w:r>
    </w:p>
    <w:p w14:paraId="73DE4025" w14:textId="77777777" w:rsidR="00A071AF" w:rsidRDefault="00A071AF"/>
    <w:p w14:paraId="304FC367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558F1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818E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0A252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0116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8B919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1A04A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3CC3D7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88FC1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FD5B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708B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69E57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5301F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3A9256" w14:textId="77777777" w:rsidR="00A071AF" w:rsidRDefault="00A071AF">
      <w:pPr>
        <w:spacing w:after="0"/>
      </w:pPr>
    </w:p>
    <w:p w14:paraId="220CD64B" w14:textId="77777777" w:rsidR="00A071AF" w:rsidRDefault="00C57D0E">
      <w:r>
        <w:t>Centar za pružanje usluga u zajednici Međimurje u razdoblju 1.-12. 2025. godine nema dospjelih obveza.</w:t>
      </w:r>
    </w:p>
    <w:p w14:paraId="6185C80C" w14:textId="77777777" w:rsidR="00A071AF" w:rsidRDefault="00A071AF"/>
    <w:p w14:paraId="6458552A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071AF" w14:paraId="3304E9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8202C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711C0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0BD74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0E8A7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A1C86" w14:textId="77777777" w:rsidR="00A071AF" w:rsidRDefault="00C57D0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071AF" w14:paraId="1C0F4A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22670" w14:textId="77777777" w:rsidR="00A071AF" w:rsidRDefault="00A071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0975B2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513CA" w14:textId="77777777" w:rsidR="00A071AF" w:rsidRDefault="00C57D0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51C53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92.086,87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C8460" w14:textId="77777777" w:rsidR="00A071AF" w:rsidRDefault="00C57D0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9E0242" w14:textId="77777777" w:rsidR="00A071AF" w:rsidRDefault="00A071AF">
      <w:pPr>
        <w:spacing w:after="0"/>
      </w:pPr>
    </w:p>
    <w:p w14:paraId="75C96A40" w14:textId="77777777" w:rsidR="00A071AF" w:rsidRDefault="00C57D0E">
      <w:r>
        <w:t>Nedospjele obveze na kraju izvještajnog razdoblja sastoje se od međusobnih obveza subjekata općeg proračuna u iznosu 274,85 €, a odnose se na obveze za povrat u proračun - bolovanje HZZO-a, obveze za zaposlene u iznosu 84.054,47 €, obveze za materijalne rashode u iznosu 7.757,45 €, obveze za povrat u proračun u iznosu 0,10 €.</w:t>
      </w:r>
    </w:p>
    <w:p w14:paraId="4AFE1601" w14:textId="77777777" w:rsidR="00A071AF" w:rsidRDefault="00A071AF"/>
    <w:p w14:paraId="109F0ED7" w14:textId="77777777" w:rsidR="00A071AF" w:rsidRDefault="00C57D0E">
      <w:pPr>
        <w:keepNext/>
        <w:spacing w:line="240" w:lineRule="auto"/>
        <w:jc w:val="center"/>
      </w:pPr>
      <w:r>
        <w:rPr>
          <w:sz w:val="28"/>
        </w:rPr>
        <w:t>Bilješka 67.</w:t>
      </w:r>
    </w:p>
    <w:p w14:paraId="410905DA" w14:textId="77777777" w:rsidR="00A071AF" w:rsidRDefault="00C57D0E">
      <w:pPr>
        <w:spacing w:line="240" w:lineRule="auto"/>
        <w:jc w:val="both"/>
      </w:pPr>
      <w:r>
        <w:rPr>
          <w:b/>
        </w:rPr>
        <w:t>EU izvještaj</w:t>
      </w:r>
    </w:p>
    <w:p w14:paraId="12325B6F" w14:textId="77777777" w:rsidR="00A071AF" w:rsidRDefault="00C57D0E">
      <w:r>
        <w:t>EU izvještaj Centra za pružanje usluga u zajednici Međimurje po izvorima financiranja obuhvaća IF 581 - Mehanizam za oporavak i otpornost - bespovratna sredstva. Iz navedenog izvora financiranja financirale su se samo plaće obiteljskih suradnica.</w:t>
      </w:r>
    </w:p>
    <w:p w14:paraId="30EA5FA2" w14:textId="77777777" w:rsidR="00A071AF" w:rsidRDefault="00C57D0E">
      <w:r>
        <w:t>U 2025. godini ostvareni su ukupni prihodi u iznosu 92.242,75 € dok rashodi iznose 96.787,35 €. Prihod je evidentiran na računu računskog plana 6711163 Prihodi za financiranje rashoda poslovanja za EU projekte. Rashod za plaće za redovan rad iznosi 80.160,10 €, rashod plaća za posebne uvjete rada iznosi 136,72 €, doprinosi za obvezno zdravstveno osiguranje 13.249,32 € i naknada za prijevoz u iznosu 3.241,53 €.</w:t>
      </w:r>
    </w:p>
    <w:p w14:paraId="2A638712" w14:textId="77777777" w:rsidR="00A071AF" w:rsidRDefault="00C57D0E">
      <w:r>
        <w:t>Razlika prihoda i rashoda u iznosu 6.321,16 € odnosi se na obračun plaće za mjesec prosinac koja je isplaćena u siječnju 2026. godine. </w:t>
      </w:r>
    </w:p>
    <w:p w14:paraId="47418060" w14:textId="77777777" w:rsidR="00A071AF" w:rsidRDefault="00A071AF"/>
    <w:sectPr w:rsidR="00A07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AF"/>
    <w:rsid w:val="00714C27"/>
    <w:rsid w:val="00A071AF"/>
    <w:rsid w:val="00C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59B"/>
  <w15:docId w15:val="{29073B29-4987-4FB7-AB9C-0BE454D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7445</Words>
  <Characters>42439</Characters>
  <Application>Microsoft Office Word</Application>
  <DocSecurity>0</DocSecurity>
  <Lines>353</Lines>
  <Paragraphs>99</Paragraphs>
  <ScaleCrop>false</ScaleCrop>
  <Company/>
  <LinksUpToDate>false</LinksUpToDate>
  <CharactersWithSpaces>49785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Herperger</dc:creator>
  <cp:lastModifiedBy>Kristina Herperger</cp:lastModifiedBy>
  <cp:revision>2</cp:revision>
  <dcterms:created xsi:type="dcterms:W3CDTF">2026-01-30T11:58:00Z</dcterms:created>
  <dcterms:modified xsi:type="dcterms:W3CDTF">2026-01-30T11:58:00Z</dcterms:modified>
</cp:coreProperties>
</file>